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spacing w:line="360" w:lineRule="auto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甘肃省中医院医技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检查预约系统功能扩展项目</w:t>
      </w:r>
      <w:bookmarkStart w:id="0" w:name="_GoBack"/>
      <w:bookmarkEnd w:id="0"/>
    </w:p>
    <w:p>
      <w:pPr>
        <w:bidi w:val="0"/>
        <w:spacing w:line="360" w:lineRule="auto"/>
        <w:jc w:val="center"/>
        <w:rPr>
          <w:rFonts w:hint="default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评分标准</w:t>
      </w:r>
    </w:p>
    <w:p>
      <w:pPr>
        <w:bidi w:val="0"/>
        <w:spacing w:line="360" w:lineRule="auto"/>
        <w:rPr>
          <w:rFonts w:hint="default"/>
        </w:rPr>
      </w:pPr>
      <w:r>
        <w:rPr>
          <w:rFonts w:hint="eastAsia" w:ascii="宋体" w:hAnsi="宋体" w:eastAsia="宋体" w:cs="宋体"/>
          <w:sz w:val="28"/>
          <w:szCs w:val="28"/>
        </w:rPr>
        <w:t>一、价格分（30分）</w:t>
      </w:r>
    </w:p>
    <w:tbl>
      <w:tblPr>
        <w:tblStyle w:val="6"/>
        <w:tblW w:w="10850" w:type="dxa"/>
        <w:tblInd w:w="-1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61"/>
        <w:gridCol w:w="6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tblHeader/>
        </w:trPr>
        <w:tc>
          <w:tcPr>
            <w:tcW w:w="406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价格分计算公式</w:t>
            </w:r>
          </w:p>
        </w:tc>
        <w:tc>
          <w:tcPr>
            <w:tcW w:w="678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6" w:hRule="atLeast"/>
        </w:trPr>
        <w:tc>
          <w:tcPr>
            <w:tcW w:w="406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投标人报价分 =（最低有效投标报价 ÷ 有效投标报价）× 30</w:t>
            </w:r>
          </w:p>
        </w:tc>
        <w:tc>
          <w:tcPr>
            <w:tcW w:w="6789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①最低有效投标报价：有效投标人报价中的最低报价；②有效投标报价：各有效投标人的报价；③计算分数时四舍五入保留两位小数点。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注意：投标报价低于预算70%的，须提供加盖公章的成本分析报告和2021年1月至今的至少两个相同项目的验收报告复印件，否则价格分为0分。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二、技术分（50分）</w:t>
      </w:r>
    </w:p>
    <w:tbl>
      <w:tblPr>
        <w:tblStyle w:val="6"/>
        <w:tblW w:w="10983" w:type="dxa"/>
        <w:tblInd w:w="-1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3"/>
        <w:gridCol w:w="1694"/>
        <w:gridCol w:w="6739"/>
        <w:gridCol w:w="950"/>
        <w:gridCol w:w="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8" w:hRule="atLeast"/>
          <w:tblHeader/>
        </w:trPr>
        <w:tc>
          <w:tcPr>
            <w:tcW w:w="6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序号</w:t>
            </w:r>
          </w:p>
        </w:tc>
        <w:tc>
          <w:tcPr>
            <w:tcW w:w="16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评分项</w:t>
            </w: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评分细则</w:t>
            </w:r>
          </w:p>
        </w:tc>
        <w:tc>
          <w:tcPr>
            <w:tcW w:w="9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分值</w:t>
            </w:r>
          </w:p>
        </w:tc>
        <w:tc>
          <w:tcPr>
            <w:tcW w:w="917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2.1</w:t>
            </w:r>
          </w:p>
        </w:tc>
        <w:tc>
          <w:tcPr>
            <w:tcW w:w="1694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技术参数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响应评价</w:t>
            </w: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评标委员会根据投标人对招标文件技术参数响应情况进行评价。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（1）标注 “★” 号的条款为实质性条款，不满足视为无效投标。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7" w:hRule="atLeast"/>
        </w:trPr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（2）标注 “▲” 号的条款为重要技术参数，全部满足得18分；每有一项负偏离扣2分，扣完为止。▲号条款须提供系统功能截图或第三方检测报告等证明材料，不提供视为负偏离。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" w:hRule="atLeast"/>
        </w:trPr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（3）非“▲”号的一般技术参数，全部满足得9分；每有一项负偏离扣0.5分，扣完为止。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2.2</w:t>
            </w:r>
          </w:p>
        </w:tc>
        <w:tc>
          <w:tcPr>
            <w:tcW w:w="1694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项目理解与需求分析方案</w:t>
            </w: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根据投标人对本项目的理解和需求分析进行评价，内容包括但不限于：①对项目建设背景和现状的理解；②对肺功能、骨密度设备接入需求的分析；③对现有预约系统架构及接口的理解；④项目实施重难点的识别与分析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3" w:hRule="atLeast"/>
        </w:trPr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（1）方案涵盖上述4项内容，分析科学、合理、准确，能够准确把握项目核心需求：7分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（2）方案涵盖上述4项内容，分析较为科学、合理：5分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（3）方案缺少1-2项内容，或分析不够准确：3分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（4）方案缺少3项及以上内容或未提供：0分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79" w:hRule="atLeast"/>
        </w:trPr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2.3</w:t>
            </w:r>
          </w:p>
        </w:tc>
        <w:tc>
          <w:tcPr>
            <w:tcW w:w="1694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系统技术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方案</w:t>
            </w: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根据投标人提供的系统技术方案进行评价，内容包括但不限于：①系统架构设计的先进性、合理性、前瞻性；②肺功能设备接入技术方案；③骨密度设备接入技术方案；④与HIS、PACS、EMR及现有预约平台的接口对接方案；⑤数据安全保障方案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（1）方案内容全面完整，技术架构先进合理，接口方案清晰可行，能够根据项目实际情况提出有效解决方案：7分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方案内容基本完整，技术架构较为合理，接口方案基本可行：</w:t>
            </w:r>
          </w:p>
          <w:p>
            <w:pPr>
              <w:numPr>
                <w:numId w:val="0"/>
              </w:num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（3）方案内容不够完整，或存在明显技术缺陷：3分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（4）未提供方案或方案与项目无关：0分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7" w:hRule="atLeast"/>
        </w:trPr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2.4</w:t>
            </w:r>
          </w:p>
        </w:tc>
        <w:tc>
          <w:tcPr>
            <w:tcW w:w="1694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项目实施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方案</w:t>
            </w: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根据投标人提供的项目实施方案进行评价，内容包括但不限于：①项目实施计划与进度安排；②项目团队组织架构与人员分工；③实施质量保障措施；④进度保障措施；⑤测试及试运行方案。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（1）方案涵盖上述5项内容，计划科学合理、可操作性强：5分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（2）方案涵盖上述5项内容，计划较为合理：3分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（3）方案缺少1-2项内容，或计划不够具体：2分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（4）方案缺少3项及以上内容或未提供：0分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2.5</w:t>
            </w:r>
          </w:p>
        </w:tc>
        <w:tc>
          <w:tcPr>
            <w:tcW w:w="1694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培训方案</w:t>
            </w: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根据投标人提供的培训方案进行评价，内容包括但不限于：①培训内容与课程设置；②培训方式与计划安排；③培训师资配备。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（1）培训方案全面、针对性强、计划合理：2分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（2）培训方案一般：1分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（3）培训方案差或无培训方案：0分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2.6</w:t>
            </w:r>
          </w:p>
        </w:tc>
        <w:tc>
          <w:tcPr>
            <w:tcW w:w="1694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售后服务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方案</w:t>
            </w: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根据投标人提供的售后服务方案进行评价，内容包括但不限于：①质保期限承诺；②服务响应时间与故障处理流程；③售后服务人员配备；④应急保障措施。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（1）售后服务方案完整充分，响应时间明确，人员配备合理，具有可实施性：2分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（2）售后服务方案基本完整：1分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694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7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（3）售后服务方案不完整或未提供：0分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</w:tbl>
    <w:p>
      <w:pPr>
        <w:bidi w:val="0"/>
        <w:spacing w:line="360" w:lineRule="auto"/>
        <w:rPr>
          <w:rFonts w:hint="eastAsia" w:ascii="宋体" w:hAnsi="宋体" w:eastAsia="宋体" w:cs="宋体"/>
        </w:rPr>
      </w:pPr>
    </w:p>
    <w:p>
      <w:pPr>
        <w:bidi w:val="0"/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三、商务分（20分）</w:t>
      </w:r>
    </w:p>
    <w:tbl>
      <w:tblPr>
        <w:tblStyle w:val="6"/>
        <w:tblW w:w="11000" w:type="dxa"/>
        <w:tblInd w:w="-1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3"/>
        <w:gridCol w:w="1367"/>
        <w:gridCol w:w="7083"/>
        <w:gridCol w:w="950"/>
        <w:gridCol w:w="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tblHeader/>
        </w:trPr>
        <w:tc>
          <w:tcPr>
            <w:tcW w:w="683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序号</w:t>
            </w:r>
          </w:p>
        </w:tc>
        <w:tc>
          <w:tcPr>
            <w:tcW w:w="1367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评分项</w:t>
            </w: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评分细则</w:t>
            </w:r>
          </w:p>
        </w:tc>
        <w:tc>
          <w:tcPr>
            <w:tcW w:w="9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分值</w:t>
            </w:r>
          </w:p>
        </w:tc>
        <w:tc>
          <w:tcPr>
            <w:tcW w:w="917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6" w:hRule="atLeast"/>
        </w:trPr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3.1</w:t>
            </w:r>
          </w:p>
        </w:tc>
        <w:tc>
          <w:tcPr>
            <w:tcW w:w="136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本地化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服务能力</w:t>
            </w: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投标人具有稳定的服务团队，能够提供及时的技术支持与现场服务。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（1）投标人能够提供及时的技术支持，承诺能够在一小时内提供现场服务：4分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（2）投标人能够提供及时的技术支持，承诺能够在三小时内提供现场服务：2分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（3）投标人能够提供及时的技术支持，但无法承诺三小时内提供现场服务：0分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3.2</w:t>
            </w:r>
          </w:p>
        </w:tc>
        <w:tc>
          <w:tcPr>
            <w:tcW w:w="136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ind w:left="210" w:hanging="210" w:hangingChars="10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同类项目业绩</w:t>
            </w: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根据投标人2021年1月至今完成的检查预约系统建设、医技设备接入或相关医技预约信息化项目业绩进行评价。须提供合同关键页复印件（加盖公章）作为证明材料。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（1）一家三甲医院同类项目业绩得1.5分，满分为6分。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注：三甲医院指经卫生行政部门评审认定的三级甲等医院。投标人须提供合同关键页（含合同首页、标的页、签字盖章页）复印件并加盖公章。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3.3</w:t>
            </w:r>
          </w:p>
        </w:tc>
        <w:tc>
          <w:tcPr>
            <w:tcW w:w="136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企业财务状况</w:t>
            </w: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根据投标人提供的经会计师事务所审计的2024年度或2025年度财务审计报告进行评价。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（1）提供审计报告且财务状况良好（无亏损）：2分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（2）提供审计报告但存在亏损：1分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（3）未提供审计报告：0分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3.4</w:t>
            </w:r>
          </w:p>
        </w:tc>
        <w:tc>
          <w:tcPr>
            <w:tcW w:w="136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产品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成熟度</w:t>
            </w: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根据投标人提供的软件测试报告或第三方检测报告进行评价。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（1）提供具有CMA或CNAS标识的第三方检测机构出具的软件测试报告，测试结论为通过或稳定运行：2分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（2）提供软件测试报告但无CMA/CNAS标识：1分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（3）未提供软件测试报告：0分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3.5</w:t>
            </w:r>
          </w:p>
        </w:tc>
        <w:tc>
          <w:tcPr>
            <w:tcW w:w="136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知识产权</w:t>
            </w: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根据投标人具有智能全预约平台、医技预约系统、检查预约系统相关系统等自主知识产权进行评价。须提供加盖公章的软件著作权证书复印件作为证明材料。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（1）具有以上相关软件著作权：3分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（2）不具备相关软件著作权：0分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3.6</w:t>
            </w:r>
          </w:p>
        </w:tc>
        <w:tc>
          <w:tcPr>
            <w:tcW w:w="136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技术支持承诺</w:t>
            </w: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根据投标人承诺在项目保修期内提供7×24小时免费电话技术支持，电话支持无法解决的问题须在4小时内安排工程师到现场解决。投标人须在投标文件中提供承诺函。</w:t>
            </w:r>
          </w:p>
        </w:tc>
        <w:tc>
          <w:tcPr>
            <w:tcW w:w="950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满分</w:t>
            </w:r>
          </w:p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3分</w:t>
            </w:r>
          </w:p>
        </w:tc>
        <w:tc>
          <w:tcPr>
            <w:tcW w:w="917" w:type="dxa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（1）提供承诺函，且承诺内容完整（含7×24小时、4小时到场）：3分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（2）提供承诺函，但承诺内容不完整：1分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3" w:type="dxa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36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708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（3）未提供承诺函：0分</w:t>
            </w:r>
          </w:p>
        </w:tc>
        <w:tc>
          <w:tcPr>
            <w:tcW w:w="950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17" w:type="dxa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bidi w:val="0"/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</w:tbl>
    <w:p>
      <w:pPr>
        <w:bidi w:val="0"/>
        <w:spacing w:line="360" w:lineRule="auto"/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734BE"/>
    <w:multiLevelType w:val="singleLevel"/>
    <w:tmpl w:val="4E9734BE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964F5B"/>
    <w:rsid w:val="059F1506"/>
    <w:rsid w:val="074259E3"/>
    <w:rsid w:val="121D08C8"/>
    <w:rsid w:val="19C71CEC"/>
    <w:rsid w:val="1C357D99"/>
    <w:rsid w:val="240F2378"/>
    <w:rsid w:val="24964F5B"/>
    <w:rsid w:val="25BF7042"/>
    <w:rsid w:val="2C8F12A9"/>
    <w:rsid w:val="32292413"/>
    <w:rsid w:val="373E5DF4"/>
    <w:rsid w:val="38E65EDD"/>
    <w:rsid w:val="59E96D05"/>
    <w:rsid w:val="5AB83709"/>
    <w:rsid w:val="5BEB49EA"/>
    <w:rsid w:val="614948EE"/>
    <w:rsid w:val="636673A5"/>
    <w:rsid w:val="6635160B"/>
    <w:rsid w:val="6D392F47"/>
    <w:rsid w:val="6E912651"/>
    <w:rsid w:val="7280671B"/>
    <w:rsid w:val="770D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1388</Words>
  <Characters>1427</Characters>
  <Lines>0</Lines>
  <Paragraphs>0</Paragraphs>
  <TotalTime>17</TotalTime>
  <ScaleCrop>false</ScaleCrop>
  <LinksUpToDate>false</LinksUpToDate>
  <CharactersWithSpaces>1435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2026-08-21T03:10:00Z</dcterms:created>
  <dc:creator>云帆医疗科技</dc:creator>
  <cp:lastModifiedBy>Administrator</cp:lastModifiedBy>
  <dcterms:modified xsi:type="dcterms:W3CDTF">2026-09-30T08:16:29Z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1C91536BBE04454C88A84C8BEFAD5586_11</vt:lpwstr>
  </property>
  <property fmtid="{D5CDD505-2E9C-101B-9397-08002B2CF9AE}" pid="4" name="KSOTemplateDocerSaveRecord">
    <vt:lpwstr>eyJoZGlkIjoiZTg1MmM5MDE0MGFiYmJiNGEyMTEzMzQ1NjdjY2YyMDUiLCJ1c2VySWQiOiIyMjYzMzgwMTMifQ==</vt:lpwstr>
  </property>
</Properties>
</file>