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甘肃省中医院医疗废物在线监测系统维护保养项目</w:t>
      </w: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招标参数及评分标准</w:t>
      </w:r>
    </w:p>
    <w:p>
      <w:pPr>
        <w:spacing w:line="520" w:lineRule="exact"/>
        <w:rPr>
          <w:rFonts w:hint="eastAsia" w:ascii="宋体" w:hAnsi="宋体" w:eastAsia="宋体" w:cs="宋体"/>
          <w:b/>
          <w:bCs/>
          <w:sz w:val="28"/>
          <w:szCs w:val="28"/>
          <w:lang w:val="zh-CN"/>
        </w:rPr>
      </w:pPr>
    </w:p>
    <w:p>
      <w:pPr>
        <w:spacing w:line="520" w:lineRule="exact"/>
        <w:rPr>
          <w:rFonts w:hint="eastAsia" w:ascii="宋体" w:hAnsi="宋体" w:eastAsia="宋体" w:cs="宋体"/>
          <w:b/>
          <w:bCs/>
          <w:sz w:val="28"/>
          <w:szCs w:val="28"/>
          <w:lang w:val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zh-CN"/>
        </w:rPr>
        <w:t>一、项目名称</w:t>
      </w:r>
    </w:p>
    <w:p>
      <w:pPr>
        <w:spacing w:line="520" w:lineRule="exact"/>
        <w:ind w:firstLine="630"/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zh-CN"/>
        </w:rPr>
        <w:t>甘肃省中医院</w:t>
      </w:r>
      <w:r>
        <w:rPr>
          <w:rFonts w:hint="eastAsia" w:ascii="宋体" w:hAnsi="宋体" w:eastAsia="宋体" w:cs="宋体"/>
          <w:bCs/>
          <w:sz w:val="28"/>
          <w:szCs w:val="28"/>
          <w:lang w:val="zh-CN" w:eastAsia="zh-CN"/>
        </w:rPr>
        <w:t>医疗废物在线监测系统维护保养项目</w:t>
      </w:r>
    </w:p>
    <w:p>
      <w:pPr>
        <w:numPr>
          <w:ilvl w:val="0"/>
          <w:numId w:val="1"/>
        </w:numPr>
        <w:spacing w:line="520" w:lineRule="exact"/>
        <w:ind w:left="0" w:leftChars="0" w:firstLine="0" w:firstLineChars="0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项目内容</w:t>
      </w:r>
    </w:p>
    <w:p>
      <w:pPr>
        <w:numPr>
          <w:numId w:val="0"/>
        </w:numPr>
        <w:spacing w:line="520" w:lineRule="exact"/>
        <w:ind w:leftChars="0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</w:p>
    <w:tbl>
      <w:tblPr>
        <w:tblStyle w:val="5"/>
        <w:tblW w:w="9320" w:type="dxa"/>
        <w:tblInd w:w="-2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7123"/>
        <w:gridCol w:w="13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99" w:type="dxa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7123" w:type="dxa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服务内容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台数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99" w:type="dxa"/>
            <w:vMerge w:val="restart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7123" w:type="dxa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医废在线收集设备使用过程中的故障维修及保养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spacing w:after="160"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99" w:type="dxa"/>
            <w:vMerge w:val="continue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23" w:type="dxa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收集软件，远程软件，杀毒软件，调试软件维护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spacing w:after="160" w:line="276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23" w:type="dxa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设备所需物联网费用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spacing w:after="160"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台</w:t>
            </w:r>
          </w:p>
        </w:tc>
      </w:tr>
    </w:tbl>
    <w:p>
      <w:pPr>
        <w:rPr>
          <w:rFonts w:hint="eastAsia" w:ascii="仿宋" w:hAnsi="仿宋" w:eastAsia="仿宋" w:cs="仿宋"/>
        </w:rPr>
      </w:pPr>
    </w:p>
    <w:tbl>
      <w:tblPr>
        <w:tblStyle w:val="5"/>
        <w:tblW w:w="9320" w:type="dxa"/>
        <w:tblInd w:w="-2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481"/>
        <w:gridCol w:w="1720"/>
        <w:gridCol w:w="1376"/>
        <w:gridCol w:w="3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799" w:type="dxa"/>
            <w:vMerge w:val="restart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481" w:type="dxa"/>
            <w:vMerge w:val="restart"/>
            <w:noWrap w:val="0"/>
            <w:vAlign w:val="center"/>
          </w:tcPr>
          <w:p>
            <w:pPr>
              <w:pStyle w:val="3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医废耗材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spacing w:after="160" w:line="720" w:lineRule="auto"/>
              <w:ind w:firstLine="280" w:firstLineChars="100"/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医废条码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spacing w:after="160"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0.1元/张</w:t>
            </w:r>
          </w:p>
        </w:tc>
        <w:tc>
          <w:tcPr>
            <w:tcW w:w="3944" w:type="dxa"/>
            <w:vMerge w:val="restart"/>
            <w:noWrap w:val="0"/>
            <w:vAlign w:val="center"/>
          </w:tcPr>
          <w:p>
            <w:pPr>
              <w:spacing w:after="160" w:line="240" w:lineRule="auto"/>
              <w:jc w:val="both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按供应量合同金额外单独结算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799" w:type="dxa"/>
            <w:vMerge w:val="continue"/>
            <w:noWrap w:val="0"/>
            <w:vAlign w:val="center"/>
          </w:tcPr>
          <w:p>
            <w:pPr>
              <w:spacing w:after="160"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81" w:type="dxa"/>
            <w:vMerge w:val="continue"/>
            <w:noWrap w:val="0"/>
            <w:vAlign w:val="center"/>
          </w:tcPr>
          <w:p>
            <w:pPr>
              <w:pStyle w:val="3"/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720" w:type="dxa"/>
            <w:noWrap w:val="0"/>
            <w:vAlign w:val="center"/>
          </w:tcPr>
          <w:p>
            <w:pPr>
              <w:spacing w:after="160" w:line="72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车载打印纸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spacing w:after="160"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元/卷</w:t>
            </w:r>
          </w:p>
        </w:tc>
        <w:tc>
          <w:tcPr>
            <w:tcW w:w="3944" w:type="dxa"/>
            <w:vMerge w:val="continue"/>
            <w:noWrap w:val="0"/>
            <w:vAlign w:val="top"/>
          </w:tcPr>
          <w:p>
            <w:pPr>
              <w:spacing w:after="160" w:line="360" w:lineRule="auto"/>
              <w:jc w:val="left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</w:tbl>
    <w:p>
      <w:pPr>
        <w:numPr>
          <w:ilvl w:val="0"/>
          <w:numId w:val="0"/>
        </w:numPr>
        <w:spacing w:line="520" w:lineRule="exact"/>
        <w:rPr>
          <w:rFonts w:hint="eastAsia" w:ascii="宋体" w:hAnsi="宋体" w:eastAsia="宋体" w:cs="宋体"/>
          <w:b/>
          <w:bCs/>
          <w:sz w:val="28"/>
          <w:szCs w:val="28"/>
          <w:lang w:val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zh-CN"/>
        </w:rPr>
        <w:t>三、服务期限</w:t>
      </w:r>
    </w:p>
    <w:p>
      <w:pPr>
        <w:ind w:firstLine="64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项目服务有效期自2026年9月15日至2027年10月10日。 </w:t>
      </w:r>
    </w:p>
    <w:p>
      <w:pPr>
        <w:numPr>
          <w:ilvl w:val="0"/>
          <w:numId w:val="2"/>
        </w:numPr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服务要求</w:t>
      </w:r>
    </w:p>
    <w:tbl>
      <w:tblPr>
        <w:tblStyle w:val="5"/>
        <w:tblW w:w="9493" w:type="dxa"/>
        <w:jc w:val="center"/>
        <w:tblInd w:w="-18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7"/>
        <w:gridCol w:w="5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shd w:val="clear" w:color="auto" w:fill="BEBEBE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shd w:val="clear" w:color="auto" w:fill="auto"/>
              </w:rPr>
              <w:t>维护项目</w:t>
            </w:r>
          </w:p>
        </w:tc>
        <w:tc>
          <w:tcPr>
            <w:tcW w:w="5336" w:type="dxa"/>
            <w:shd w:val="clear" w:color="auto" w:fill="BEBEBE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shd w:val="clear" w:color="auto" w:fill="auto"/>
                <w:lang w:val="en-US" w:eastAsia="zh-CN"/>
              </w:rPr>
              <w:t>服务要求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供电电池保养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损耗物件，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出现问题需及时更换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电动后桥保养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每月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定期保养，更换齿轮、机油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电子秤推杆保养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每月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定期保养，加润滑油、电机校正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车身结构保养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每月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定期保养，紧固螺丝、螺母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驱动车轮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损耗物件，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出现问题需及时更换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方向车轮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损耗物件，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出现问题需及时更换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驱动手把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易损坏物件，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出现问题需及时更换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电子秤推杆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易损坏物件，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出现问题需及时更换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面板开关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使用不当易损坏，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及时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更换维护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扫描枪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使用不当易摔坏，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及时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更换维护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打印机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使用不当易损坏，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及时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更换维护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电子秤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使用不当易损坏，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及时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更换维护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液晶显示屏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操作不当屏幕损坏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及时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更换维护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收集车前面板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使用不当易损坏，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及时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更换维护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收集车系统维护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依据实际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运行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情况维护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物联网卡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正常维护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数据维护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依据实际数据采集上传情况维护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远程维护</w:t>
            </w:r>
          </w:p>
        </w:tc>
        <w:tc>
          <w:tcPr>
            <w:tcW w:w="533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技术人员远程维护设备，排查问题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五、投标资质</w:t>
      </w:r>
    </w:p>
    <w:p>
      <w:pPr>
        <w:numPr>
          <w:ilvl w:val="0"/>
          <w:numId w:val="0"/>
        </w:numPr>
        <w:ind w:leftChars="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投标方需持有有效的营业执照，经营范围需含有监测系统的研发、施工、维护或信息系统集成服务等具备履行合同所具备的专业技术能力。</w:t>
      </w:r>
    </w:p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六、其他</w:t>
      </w:r>
    </w:p>
    <w:p>
      <w:pPr>
        <w:numPr>
          <w:ilvl w:val="0"/>
          <w:numId w:val="0"/>
        </w:numPr>
        <w:spacing w:line="520" w:lineRule="exact"/>
        <w:ind w:leftChars="0" w:firstLine="640"/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中标方未按照院方时间要求进行维护维修，每逾期一日，应向院方支付合同总价3‰的违约金，若任何一项逾期达七日或累计三次及三次以上，院方有权解除合同，并要求中标方支付合同金额20％的违约金并承担由此造成的院方一切损失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考核管理</w:t>
      </w:r>
    </w:p>
    <w:tbl>
      <w:tblPr>
        <w:tblStyle w:val="5"/>
        <w:tblW w:w="10740" w:type="dxa"/>
        <w:tblInd w:w="-10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968"/>
        <w:gridCol w:w="3935"/>
        <w:gridCol w:w="2419"/>
        <w:gridCol w:w="800"/>
        <w:gridCol w:w="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考核项目</w:t>
            </w:r>
          </w:p>
        </w:tc>
        <w:tc>
          <w:tcPr>
            <w:tcW w:w="39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考核内容</w:t>
            </w:r>
          </w:p>
        </w:tc>
        <w:tc>
          <w:tcPr>
            <w:tcW w:w="24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考核标准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分值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到达现场时间</w:t>
            </w:r>
          </w:p>
        </w:tc>
        <w:tc>
          <w:tcPr>
            <w:tcW w:w="3935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必须设有24小时值班电话，自接到甲方通知后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小时内或按照甲方要求时间到达现场。</w:t>
            </w:r>
          </w:p>
        </w:tc>
        <w:tc>
          <w:tcPr>
            <w:tcW w:w="2419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每延迟1小时扣除200元/小时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ind w:firstLine="280" w:firstLineChars="10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-2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更换配件要求</w:t>
            </w:r>
          </w:p>
        </w:tc>
        <w:tc>
          <w:tcPr>
            <w:tcW w:w="3935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必须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根据甲方要求在规定时间完成配件更换，不能影响医院医疗废物收集</w:t>
            </w:r>
          </w:p>
        </w:tc>
        <w:tc>
          <w:tcPr>
            <w:tcW w:w="2419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不按规定时间完成配件更换，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一次扣除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工程质量</w:t>
            </w:r>
          </w:p>
        </w:tc>
        <w:tc>
          <w:tcPr>
            <w:tcW w:w="3935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在完成转运车部件更换维修后，一周内连续损坏三次以上</w:t>
            </w:r>
          </w:p>
        </w:tc>
        <w:tc>
          <w:tcPr>
            <w:tcW w:w="2419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每出现一次，扣除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元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工程安全</w:t>
            </w:r>
          </w:p>
        </w:tc>
        <w:tc>
          <w:tcPr>
            <w:tcW w:w="3935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施工安全措施和防护到位</w:t>
            </w:r>
          </w:p>
        </w:tc>
        <w:tc>
          <w:tcPr>
            <w:tcW w:w="2419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每发现一次不合格扣除200元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-2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ind w:firstLine="280" w:firstLineChars="10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现场要求</w:t>
            </w:r>
          </w:p>
        </w:tc>
        <w:tc>
          <w:tcPr>
            <w:tcW w:w="3935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施工现场必须符合甲方要求并做好环境清洁工作</w:t>
            </w:r>
          </w:p>
        </w:tc>
        <w:tc>
          <w:tcPr>
            <w:tcW w:w="2419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每发现一次不合格则扣除200元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-2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10740" w:type="dxa"/>
            <w:gridSpan w:val="6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考核期限：   年  月至   年  月</w:t>
            </w:r>
          </w:p>
        </w:tc>
      </w:tr>
    </w:tbl>
    <w:p>
      <w:pPr>
        <w:numPr>
          <w:numId w:val="0"/>
        </w:num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八、项目预算价：55460.28元</w:t>
      </w:r>
    </w:p>
    <w:p>
      <w:pPr>
        <w:numPr>
          <w:numId w:val="0"/>
        </w:num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九、项目综合评分表</w:t>
      </w:r>
    </w:p>
    <w:tbl>
      <w:tblPr>
        <w:tblStyle w:val="5"/>
        <w:tblpPr w:leftFromText="180" w:rightFromText="180" w:vertAnchor="text" w:horzAnchor="page" w:tblpX="520" w:tblpY="233"/>
        <w:tblOverlap w:val="never"/>
        <w:tblW w:w="11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199"/>
        <w:gridCol w:w="1199"/>
        <w:gridCol w:w="7215"/>
        <w:gridCol w:w="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701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199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评分项目</w:t>
            </w:r>
          </w:p>
        </w:tc>
        <w:tc>
          <w:tcPr>
            <w:tcW w:w="1199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基础分值</w:t>
            </w:r>
          </w:p>
        </w:tc>
        <w:tc>
          <w:tcPr>
            <w:tcW w:w="7215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评分标准</w:t>
            </w:r>
          </w:p>
        </w:tc>
        <w:tc>
          <w:tcPr>
            <w:tcW w:w="766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701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199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价格部分</w:t>
            </w:r>
          </w:p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（30分）</w:t>
            </w:r>
          </w:p>
        </w:tc>
        <w:tc>
          <w:tcPr>
            <w:tcW w:w="1199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30分</w:t>
            </w:r>
          </w:p>
        </w:tc>
        <w:tc>
          <w:tcPr>
            <w:tcW w:w="7215" w:type="dxa"/>
            <w:vAlign w:val="center"/>
          </w:tcPr>
          <w:p>
            <w:pPr>
              <w:widowControl w:val="0"/>
              <w:spacing w:line="384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满足磋商文件要求且响应价格最低的响应报价为磋商基准价，其价格分为满分。其他供应商的价格分统一按照下列公式计算：</w:t>
            </w:r>
          </w:p>
          <w:p>
            <w:pPr>
              <w:widowControl w:val="0"/>
              <w:spacing w:line="384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磋商报价得分=(磋商基准价／最后有效磋商报价)*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%*100（四舍五入法结果保留小数点后两位，小数点后第三位四舍五入）</w:t>
            </w:r>
          </w:p>
        </w:tc>
        <w:tc>
          <w:tcPr>
            <w:tcW w:w="766" w:type="dxa"/>
            <w:vAlign w:val="center"/>
          </w:tcPr>
          <w:p>
            <w:pPr>
              <w:widowControl w:val="0"/>
              <w:spacing w:line="384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701" w:type="dxa"/>
            <w:vMerge w:val="restart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199" w:type="dxa"/>
            <w:vMerge w:val="restart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商务部分（15分）</w:t>
            </w:r>
          </w:p>
        </w:tc>
        <w:tc>
          <w:tcPr>
            <w:tcW w:w="1199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5分</w:t>
            </w:r>
          </w:p>
        </w:tc>
        <w:tc>
          <w:tcPr>
            <w:tcW w:w="7215" w:type="dxa"/>
            <w:vAlign w:val="center"/>
          </w:tcPr>
          <w:p>
            <w:pPr>
              <w:widowControl w:val="0"/>
              <w:spacing w:line="384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投标文件具有有效的目录索引，页码连续无错乱。标题、编号、正文、表格、签字盖章等排版规范，证书复印清晰的得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分，不满足不得分。</w:t>
            </w:r>
          </w:p>
        </w:tc>
        <w:tc>
          <w:tcPr>
            <w:tcW w:w="766" w:type="dxa"/>
            <w:vAlign w:val="center"/>
          </w:tcPr>
          <w:p>
            <w:pPr>
              <w:widowControl w:val="0"/>
              <w:spacing w:line="384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01" w:type="dxa"/>
            <w:vMerge w:val="continue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9" w:type="dxa"/>
            <w:vMerge w:val="continue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>
            <w:pPr>
              <w:widowControl w:val="0"/>
              <w:spacing w:line="384" w:lineRule="auto"/>
              <w:ind w:firstLine="240" w:firstLineChars="1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10分</w:t>
            </w:r>
          </w:p>
        </w:tc>
        <w:tc>
          <w:tcPr>
            <w:tcW w:w="7215" w:type="dxa"/>
            <w:vAlign w:val="center"/>
          </w:tcPr>
          <w:p>
            <w:pPr>
              <w:widowControl w:val="0"/>
              <w:spacing w:line="384" w:lineRule="auto"/>
              <w:ind w:firstLine="480" w:firstLineChars="20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近三年内在兰州地区完成同类项目维保业绩，每有一项得2分，最高得10分。</w:t>
            </w:r>
          </w:p>
        </w:tc>
        <w:tc>
          <w:tcPr>
            <w:tcW w:w="766" w:type="dxa"/>
            <w:vAlign w:val="center"/>
          </w:tcPr>
          <w:p>
            <w:pPr>
              <w:widowControl w:val="0"/>
              <w:spacing w:line="384" w:lineRule="auto"/>
              <w:ind w:firstLine="480" w:firstLineChars="20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2" w:hRule="atLeast"/>
        </w:trPr>
        <w:tc>
          <w:tcPr>
            <w:tcW w:w="701" w:type="dxa"/>
            <w:vMerge w:val="restart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199" w:type="dxa"/>
            <w:vMerge w:val="restart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技术部分</w:t>
            </w:r>
          </w:p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（55分）</w:t>
            </w:r>
          </w:p>
        </w:tc>
        <w:tc>
          <w:tcPr>
            <w:tcW w:w="1199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10分</w:t>
            </w:r>
          </w:p>
        </w:tc>
        <w:tc>
          <w:tcPr>
            <w:tcW w:w="7215" w:type="dxa"/>
            <w:vAlign w:val="center"/>
          </w:tcPr>
          <w:p>
            <w:pPr>
              <w:widowControl w:val="0"/>
              <w:spacing w:line="384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投标服务商具备完备的服务体系，培训方案及计划合理，维保服务文档完整、服务组织完善，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有针对性，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突发状况应急预案合理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得 10 分；投标服务商具备完备的服务系统，培训方案及计划较合理，维保服务文档较完整，服务组织针对性不强，突发状况应急预案较良好得5 分；投标服务商具备服务体系，培训方案及计划不够合理，维保服务文档不够完整，服务无针对性，突发状况应急预案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较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合理的得 3 分；投标服务商具备服务体系，培训方案及计划不合理，维保服务文档不完整，服务组织无针对性，突发状况应急预案不合理的得 0 分。</w:t>
            </w:r>
          </w:p>
        </w:tc>
        <w:tc>
          <w:tcPr>
            <w:tcW w:w="766" w:type="dxa"/>
            <w:vAlign w:val="center"/>
          </w:tcPr>
          <w:p>
            <w:pPr>
              <w:widowControl w:val="0"/>
              <w:spacing w:line="384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701" w:type="dxa"/>
            <w:vMerge w:val="continue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9" w:type="dxa"/>
            <w:vMerge w:val="continue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15分</w:t>
            </w:r>
          </w:p>
        </w:tc>
        <w:tc>
          <w:tcPr>
            <w:tcW w:w="7215" w:type="dxa"/>
            <w:vAlign w:val="center"/>
          </w:tcPr>
          <w:p>
            <w:pPr>
              <w:pStyle w:val="2"/>
              <w:widowControl w:val="0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投标服务商具备本地化服务网点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无本地化服务网点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不得分。</w:t>
            </w:r>
          </w:p>
        </w:tc>
        <w:tc>
          <w:tcPr>
            <w:tcW w:w="766" w:type="dxa"/>
            <w:vAlign w:val="center"/>
          </w:tcPr>
          <w:p>
            <w:pPr>
              <w:pStyle w:val="2"/>
              <w:widowControl w:val="0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701" w:type="dxa"/>
            <w:vMerge w:val="continue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9" w:type="dxa"/>
            <w:vMerge w:val="continue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20分</w:t>
            </w:r>
          </w:p>
        </w:tc>
        <w:tc>
          <w:tcPr>
            <w:tcW w:w="7215" w:type="dxa"/>
            <w:vAlign w:val="center"/>
          </w:tcPr>
          <w:p>
            <w:pPr>
              <w:pStyle w:val="2"/>
              <w:widowControl w:val="0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完全响应磋商文件服务要求及责任范围内容条款的得20 分，未完全响应磋商文件服务要求及责任范围的每少一条减 1 分，扣完为止。</w:t>
            </w:r>
          </w:p>
        </w:tc>
        <w:tc>
          <w:tcPr>
            <w:tcW w:w="766" w:type="dxa"/>
            <w:vAlign w:val="center"/>
          </w:tcPr>
          <w:p>
            <w:pPr>
              <w:pStyle w:val="2"/>
              <w:widowControl w:val="0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701" w:type="dxa"/>
            <w:vMerge w:val="continue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9" w:type="dxa"/>
            <w:vMerge w:val="continue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>
            <w:pPr>
              <w:widowControl w:val="0"/>
              <w:spacing w:line="38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分</w:t>
            </w:r>
          </w:p>
        </w:tc>
        <w:tc>
          <w:tcPr>
            <w:tcW w:w="7215" w:type="dxa"/>
            <w:vAlign w:val="center"/>
          </w:tcPr>
          <w:p>
            <w:pPr>
              <w:pStyle w:val="2"/>
              <w:widowControl w:val="0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根据各投标人服务承诺进行评定，完全相应招标参数服务要求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得10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 xml:space="preserve"> 分，不完全相应或未响应不得分。</w:t>
            </w:r>
          </w:p>
        </w:tc>
        <w:tc>
          <w:tcPr>
            <w:tcW w:w="766" w:type="dxa"/>
            <w:vAlign w:val="center"/>
          </w:tcPr>
          <w:p>
            <w:pPr>
              <w:pStyle w:val="2"/>
              <w:widowControl w:val="0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B249A5"/>
    <w:multiLevelType w:val="singleLevel"/>
    <w:tmpl w:val="C3B249A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2EA49AB"/>
    <w:multiLevelType w:val="singleLevel"/>
    <w:tmpl w:val="F2EA49AB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3B3CDF7"/>
    <w:multiLevelType w:val="singleLevel"/>
    <w:tmpl w:val="43B3CDF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kNTM4MDk2Njk5YjMxZTY0MGFjNmM1NmMzYTBkMGQifQ=="/>
  </w:docVars>
  <w:rsids>
    <w:rsidRoot w:val="1AEC3177"/>
    <w:rsid w:val="00967B3F"/>
    <w:rsid w:val="0149021F"/>
    <w:rsid w:val="112371A2"/>
    <w:rsid w:val="11931ED3"/>
    <w:rsid w:val="18BE6EA5"/>
    <w:rsid w:val="1AEC3177"/>
    <w:rsid w:val="29093C50"/>
    <w:rsid w:val="30801FEF"/>
    <w:rsid w:val="3134417D"/>
    <w:rsid w:val="3B027CA5"/>
    <w:rsid w:val="41691DD9"/>
    <w:rsid w:val="41F86FEF"/>
    <w:rsid w:val="4AC7411F"/>
    <w:rsid w:val="4C81278E"/>
    <w:rsid w:val="50195A6F"/>
    <w:rsid w:val="52234F0C"/>
    <w:rsid w:val="58C7720F"/>
    <w:rsid w:val="64EE1879"/>
    <w:rsid w:val="68D46889"/>
    <w:rsid w:val="6B903918"/>
    <w:rsid w:val="73591FCA"/>
    <w:rsid w:val="7BE95FA5"/>
    <w:rsid w:val="7CEB6C16"/>
    <w:rsid w:val="7F40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Body Text"/>
    <w:basedOn w:val="1"/>
    <w:qFormat/>
    <w:uiPriority w:val="0"/>
    <w:rPr>
      <w:color w:val="9933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1581</Words>
  <Characters>1630</Characters>
  <Lines>0</Lines>
  <Paragraphs>0</Paragraphs>
  <TotalTime>10</TotalTime>
  <ScaleCrop>false</ScaleCrop>
  <LinksUpToDate>false</LinksUpToDate>
  <CharactersWithSpaces>1660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2019-12-09T02:11:00Z</dcterms:created>
  <dc:creator>qzuser</dc:creator>
  <cp:lastModifiedBy>Administrator</cp:lastModifiedBy>
  <cp:lastPrinted>2026-08-04T02:36:00Z</cp:lastPrinted>
  <dcterms:modified xsi:type="dcterms:W3CDTF">2026-08-26T08:57:59Z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8F4CD039EA2A4F0DA9943F01933EC22A</vt:lpwstr>
  </property>
  <property fmtid="{D5CDD505-2E9C-101B-9397-08002B2CF9AE}" pid="4" name="KSOTemplateDocerSaveRecord">
    <vt:lpwstr>eyJoZGlkIjoiYjZkNTM4MDk2Njk5YjMxZTY0MGFjNmM1NmMzYTBkMGQiLCJ1c2VySWQiOiIzMTk3NjY3NTIifQ==</vt:lpwstr>
  </property>
</Properties>
</file>