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jc w:val="center"/>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甘肃省中医院2026年医师节及2027年春节视频拍摄</w:t>
      </w:r>
    </w:p>
    <w:p>
      <w:pPr>
        <w:numPr>
          <w:ilvl w:val="0"/>
          <w:numId w:val="0"/>
        </w:numPr>
        <w:jc w:val="center"/>
        <w:rPr>
          <w:rFonts w:hint="eastAsia"/>
          <w:b/>
          <w:bCs/>
          <w:sz w:val="32"/>
          <w:szCs w:val="32"/>
          <w:lang w:val="en-US" w:eastAsia="zh-CN"/>
        </w:rPr>
      </w:pPr>
      <w:r>
        <w:rPr>
          <w:rFonts w:hint="eastAsia" w:ascii="宋体" w:hAnsi="宋体" w:eastAsia="宋体" w:cs="宋体"/>
          <w:b/>
          <w:bCs/>
          <w:sz w:val="32"/>
          <w:szCs w:val="32"/>
          <w:lang w:val="en-US" w:eastAsia="zh-CN"/>
        </w:rPr>
        <w:t>项目参数和评分标准</w:t>
      </w:r>
      <w:bookmarkStart w:id="0" w:name="_GoBack"/>
      <w:bookmarkEnd w:id="0"/>
    </w:p>
    <w:p>
      <w:pPr>
        <w:spacing w:line="360" w:lineRule="auto"/>
        <w:ind w:firstLine="560" w:firstLineChars="200"/>
        <w:jc w:val="left"/>
        <w:rPr>
          <w:rFonts w:hint="eastAsia" w:ascii="仿宋_GB2312" w:eastAsia="仿宋_GB2312"/>
          <w:sz w:val="28"/>
          <w:szCs w:val="28"/>
        </w:rPr>
      </w:pPr>
    </w:p>
    <w:p>
      <w:pPr>
        <w:keepNext w:val="0"/>
        <w:keepLines w:val="0"/>
        <w:pageBreakBefore w:val="0"/>
        <w:widowControl w:val="0"/>
        <w:kinsoku/>
        <w:wordWrap/>
        <w:overflowPunct/>
        <w:topLinePunct w:val="0"/>
        <w:autoSpaceDE/>
        <w:autoSpaceDN/>
        <w:bidi w:val="0"/>
        <w:adjustRightInd/>
        <w:snapToGrid/>
        <w:spacing w:line="480" w:lineRule="auto"/>
        <w:ind w:firstLine="560" w:firstLineChars="200"/>
        <w:jc w:val="lef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一、</w:t>
      </w:r>
      <w:r>
        <w:rPr>
          <w:rFonts w:hint="eastAsia" w:ascii="宋体" w:hAnsi="宋体" w:eastAsia="宋体" w:cs="宋体"/>
          <w:sz w:val="28"/>
          <w:szCs w:val="28"/>
        </w:rPr>
        <w:t>拍摄和制作内容：</w:t>
      </w:r>
    </w:p>
    <w:p>
      <w:pPr>
        <w:keepNext w:val="0"/>
        <w:keepLines w:val="0"/>
        <w:pageBreakBefore w:val="0"/>
        <w:widowControl w:val="0"/>
        <w:kinsoku/>
        <w:wordWrap/>
        <w:overflowPunct/>
        <w:topLinePunct w:val="0"/>
        <w:autoSpaceDE/>
        <w:autoSpaceDN/>
        <w:bidi w:val="0"/>
        <w:adjustRightInd/>
        <w:snapToGrid/>
        <w:spacing w:line="48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rPr>
        <w:t>甘肃省中医院</w:t>
      </w:r>
      <w:r>
        <w:rPr>
          <w:rFonts w:hint="eastAsia" w:ascii="宋体" w:hAnsi="宋体" w:eastAsia="宋体" w:cs="宋体"/>
          <w:sz w:val="28"/>
          <w:szCs w:val="28"/>
          <w:lang w:val="en-US" w:eastAsia="zh-CN"/>
        </w:rPr>
        <w:t>2026年医师节宣传片、2027年新春贺岁片</w:t>
      </w:r>
    </w:p>
    <w:p>
      <w:pPr>
        <w:keepNext w:val="0"/>
        <w:keepLines w:val="0"/>
        <w:pageBreakBefore w:val="0"/>
        <w:widowControl w:val="0"/>
        <w:kinsoku/>
        <w:wordWrap/>
        <w:overflowPunct/>
        <w:topLinePunct w:val="0"/>
        <w:autoSpaceDE/>
        <w:autoSpaceDN/>
        <w:bidi w:val="0"/>
        <w:adjustRightInd/>
        <w:snapToGrid/>
        <w:spacing w:line="480" w:lineRule="auto"/>
        <w:ind w:firstLine="560" w:firstLineChars="200"/>
        <w:jc w:val="left"/>
        <w:textAlignment w:val="auto"/>
        <w:rPr>
          <w:rFonts w:hint="eastAsia" w:ascii="宋体" w:hAnsi="宋体" w:eastAsia="宋体" w:cs="宋体"/>
          <w:sz w:val="28"/>
          <w:szCs w:val="28"/>
        </w:rPr>
      </w:pPr>
      <w:r>
        <w:rPr>
          <w:rFonts w:hint="eastAsia" w:ascii="宋体" w:hAnsi="宋体" w:eastAsia="宋体" w:cs="宋体"/>
          <w:sz w:val="28"/>
          <w:szCs w:val="28"/>
          <w:lang w:eastAsia="zh-CN"/>
        </w:rPr>
        <w:t>二、</w:t>
      </w:r>
      <w:r>
        <w:rPr>
          <w:rFonts w:hint="eastAsia" w:ascii="宋体" w:hAnsi="宋体" w:eastAsia="宋体" w:cs="宋体"/>
          <w:sz w:val="28"/>
          <w:szCs w:val="28"/>
        </w:rPr>
        <w:t>视频拍摄要求及制作要求：</w:t>
      </w:r>
    </w:p>
    <w:p>
      <w:pPr>
        <w:keepNext w:val="0"/>
        <w:keepLines w:val="0"/>
        <w:pageBreakBefore w:val="0"/>
        <w:widowControl w:val="0"/>
        <w:kinsoku/>
        <w:wordWrap/>
        <w:overflowPunct/>
        <w:topLinePunct w:val="0"/>
        <w:autoSpaceDE/>
        <w:autoSpaceDN/>
        <w:bidi w:val="0"/>
        <w:adjustRightInd/>
        <w:snapToGrid/>
        <w:spacing w:line="480" w:lineRule="auto"/>
        <w:ind w:firstLine="560" w:firstLineChars="200"/>
        <w:jc w:val="lef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1、</w:t>
      </w:r>
      <w:r>
        <w:rPr>
          <w:rFonts w:hint="eastAsia" w:ascii="宋体" w:hAnsi="宋体" w:eastAsia="宋体" w:cs="宋体"/>
          <w:sz w:val="28"/>
          <w:szCs w:val="28"/>
        </w:rPr>
        <w:t>时长</w:t>
      </w:r>
      <w:r>
        <w:rPr>
          <w:rFonts w:hint="eastAsia" w:ascii="宋体" w:hAnsi="宋体" w:eastAsia="宋体" w:cs="宋体"/>
          <w:sz w:val="28"/>
          <w:szCs w:val="28"/>
          <w:lang w:val="en-US" w:eastAsia="zh-CN"/>
        </w:rPr>
        <w:t>3</w:t>
      </w:r>
      <w:r>
        <w:rPr>
          <w:rFonts w:hint="eastAsia" w:ascii="宋体" w:hAnsi="宋体" w:eastAsia="宋体" w:cs="宋体"/>
          <w:sz w:val="28"/>
          <w:szCs w:val="28"/>
        </w:rPr>
        <w:t>分钟</w:t>
      </w:r>
      <w:r>
        <w:rPr>
          <w:rFonts w:hint="eastAsia" w:ascii="宋体" w:hAnsi="宋体" w:eastAsia="宋体" w:cs="宋体"/>
          <w:sz w:val="28"/>
          <w:szCs w:val="28"/>
          <w:lang w:val="en-US" w:eastAsia="zh-CN"/>
        </w:rPr>
        <w:t>/部</w:t>
      </w:r>
      <w:r>
        <w:rPr>
          <w:rFonts w:hint="eastAsia" w:ascii="宋体" w:hAnsi="宋体" w:eastAsia="宋体" w:cs="宋体"/>
          <w:sz w:val="28"/>
          <w:szCs w:val="28"/>
        </w:rPr>
        <w:t>。</w:t>
      </w:r>
    </w:p>
    <w:p>
      <w:pPr>
        <w:keepNext w:val="0"/>
        <w:keepLines w:val="0"/>
        <w:pageBreakBefore w:val="0"/>
        <w:widowControl w:val="0"/>
        <w:kinsoku/>
        <w:wordWrap/>
        <w:overflowPunct/>
        <w:topLinePunct w:val="0"/>
        <w:autoSpaceDE/>
        <w:autoSpaceDN/>
        <w:bidi w:val="0"/>
        <w:adjustRightInd/>
        <w:snapToGrid/>
        <w:spacing w:line="480" w:lineRule="auto"/>
        <w:ind w:firstLine="560" w:firstLineChars="200"/>
        <w:jc w:val="lef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2、</w:t>
      </w:r>
      <w:r>
        <w:rPr>
          <w:rFonts w:hint="eastAsia" w:ascii="宋体" w:hAnsi="宋体" w:eastAsia="宋体" w:cs="宋体"/>
          <w:sz w:val="28"/>
          <w:szCs w:val="28"/>
        </w:rPr>
        <w:t>拍摄时采用4k画质；配音：普通话，配音人员为国家一级播音员</w:t>
      </w:r>
    </w:p>
    <w:p>
      <w:pPr>
        <w:keepNext w:val="0"/>
        <w:keepLines w:val="0"/>
        <w:pageBreakBefore w:val="0"/>
        <w:widowControl w:val="0"/>
        <w:kinsoku/>
        <w:wordWrap/>
        <w:overflowPunct/>
        <w:topLinePunct w:val="0"/>
        <w:autoSpaceDE/>
        <w:autoSpaceDN/>
        <w:bidi w:val="0"/>
        <w:adjustRightInd/>
        <w:snapToGrid/>
        <w:spacing w:line="480" w:lineRule="auto"/>
        <w:ind w:firstLine="560" w:firstLineChars="200"/>
        <w:jc w:val="left"/>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三、</w:t>
      </w:r>
      <w:r>
        <w:rPr>
          <w:rFonts w:hint="eastAsia" w:ascii="宋体" w:hAnsi="宋体" w:eastAsia="宋体" w:cs="宋体"/>
          <w:sz w:val="28"/>
          <w:szCs w:val="28"/>
        </w:rPr>
        <w:t>需要提供完整的制作方案</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文案或者设计脚本</w:t>
      </w:r>
      <w:r>
        <w:rPr>
          <w:rFonts w:hint="eastAsia" w:ascii="宋体" w:hAnsi="宋体" w:eastAsia="宋体" w:cs="宋体"/>
          <w:sz w:val="28"/>
          <w:szCs w:val="28"/>
          <w:lang w:eastAsia="zh-CN"/>
        </w:rPr>
        <w:t>）</w:t>
      </w:r>
    </w:p>
    <w:p>
      <w:pPr>
        <w:keepNext w:val="0"/>
        <w:keepLines w:val="0"/>
        <w:pageBreakBefore w:val="0"/>
        <w:widowControl w:val="0"/>
        <w:kinsoku/>
        <w:wordWrap/>
        <w:overflowPunct/>
        <w:topLinePunct w:val="0"/>
        <w:autoSpaceDE/>
        <w:autoSpaceDN/>
        <w:bidi w:val="0"/>
        <w:adjustRightInd/>
        <w:snapToGrid/>
        <w:spacing w:line="480" w:lineRule="auto"/>
        <w:ind w:firstLine="560" w:firstLineChars="200"/>
        <w:jc w:val="left"/>
        <w:textAlignment w:val="auto"/>
        <w:rPr>
          <w:rFonts w:hint="eastAsia" w:ascii="宋体" w:hAnsi="宋体" w:eastAsia="宋体" w:cs="宋体"/>
          <w:sz w:val="28"/>
          <w:szCs w:val="28"/>
        </w:rPr>
      </w:pPr>
      <w:r>
        <w:rPr>
          <w:rFonts w:hint="eastAsia" w:ascii="宋体" w:hAnsi="宋体" w:eastAsia="宋体" w:cs="宋体"/>
          <w:sz w:val="28"/>
          <w:szCs w:val="28"/>
          <w:lang w:eastAsia="zh-CN"/>
        </w:rPr>
        <w:t>四、</w:t>
      </w:r>
      <w:r>
        <w:rPr>
          <w:rFonts w:hint="eastAsia" w:ascii="宋体" w:hAnsi="宋体" w:eastAsia="宋体" w:cs="宋体"/>
          <w:sz w:val="28"/>
          <w:szCs w:val="28"/>
        </w:rPr>
        <w:t>制作周期</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1</w:t>
      </w:r>
      <w:r>
        <w:rPr>
          <w:rFonts w:hint="eastAsia" w:ascii="宋体" w:hAnsi="宋体" w:eastAsia="宋体" w:cs="宋体"/>
          <w:sz w:val="28"/>
          <w:szCs w:val="28"/>
        </w:rPr>
        <w:t>周内完成。</w:t>
      </w:r>
    </w:p>
    <w:p>
      <w:pPr>
        <w:keepNext w:val="0"/>
        <w:keepLines w:val="0"/>
        <w:pageBreakBefore w:val="0"/>
        <w:widowControl w:val="0"/>
        <w:kinsoku/>
        <w:wordWrap/>
        <w:overflowPunct/>
        <w:topLinePunct w:val="0"/>
        <w:autoSpaceDE/>
        <w:autoSpaceDN/>
        <w:bidi w:val="0"/>
        <w:adjustRightInd/>
        <w:snapToGrid/>
        <w:spacing w:line="48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五、提供与项目内容类似的已完成制作的成片</w:t>
      </w:r>
    </w:p>
    <w:p>
      <w:pPr>
        <w:keepNext w:val="0"/>
        <w:keepLines w:val="0"/>
        <w:pageBreakBefore w:val="0"/>
        <w:widowControl w:val="0"/>
        <w:kinsoku/>
        <w:wordWrap/>
        <w:overflowPunct/>
        <w:topLinePunct w:val="0"/>
        <w:autoSpaceDE/>
        <w:autoSpaceDN/>
        <w:bidi w:val="0"/>
        <w:adjustRightInd/>
        <w:snapToGrid/>
        <w:spacing w:line="48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六、项目预算价为4万元</w:t>
      </w:r>
    </w:p>
    <w:p>
      <w:pPr>
        <w:pStyle w:val="2"/>
        <w:ind w:left="0" w:leftChars="0" w:firstLine="560" w:firstLineChars="200"/>
        <w:rPr>
          <w:rFonts w:hint="eastAsia"/>
          <w:lang w:val="en-US" w:eastAsia="zh-CN"/>
        </w:rPr>
      </w:pPr>
      <w:r>
        <w:rPr>
          <w:rFonts w:hint="eastAsia" w:ascii="宋体" w:hAnsi="宋体" w:eastAsia="宋体" w:cs="宋体"/>
          <w:sz w:val="28"/>
          <w:szCs w:val="28"/>
          <w:lang w:val="en-US" w:eastAsia="zh-CN"/>
        </w:rPr>
        <w:t>七、评分标准</w:t>
      </w:r>
    </w:p>
    <w:tbl>
      <w:tblPr>
        <w:tblStyle w:val="7"/>
        <w:tblpPr w:leftFromText="180" w:rightFromText="180" w:vertAnchor="text" w:horzAnchor="page" w:tblpX="520" w:tblpY="78"/>
        <w:tblOverlap w:val="never"/>
        <w:tblW w:w="1098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67"/>
        <w:gridCol w:w="1200"/>
        <w:gridCol w:w="7566"/>
        <w:gridCol w:w="734"/>
        <w:gridCol w:w="71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03" w:hRule="atLeast"/>
        </w:trPr>
        <w:tc>
          <w:tcPr>
            <w:tcW w:w="767" w:type="dxa"/>
            <w:noWrap w:val="0"/>
            <w:vAlign w:val="center"/>
          </w:tcPr>
          <w:p>
            <w:pPr>
              <w:widowControl/>
              <w:snapToGrid w:val="0"/>
              <w:spacing w:line="360" w:lineRule="auto"/>
              <w:jc w:val="center"/>
              <w:textAlignment w:val="center"/>
              <w:rPr>
                <w:rFonts w:hint="eastAsia" w:ascii="宋体" w:hAnsi="宋体" w:eastAsia="宋体" w:cs="宋体"/>
                <w:b/>
                <w:color w:val="auto"/>
                <w:sz w:val="24"/>
                <w:szCs w:val="24"/>
              </w:rPr>
            </w:pPr>
            <w:r>
              <w:rPr>
                <w:rFonts w:hint="eastAsia" w:ascii="宋体" w:hAnsi="宋体" w:eastAsia="宋体" w:cs="宋体"/>
                <w:b/>
                <w:color w:val="auto"/>
                <w:sz w:val="24"/>
                <w:szCs w:val="24"/>
              </w:rPr>
              <w:t>序号</w:t>
            </w:r>
          </w:p>
        </w:tc>
        <w:tc>
          <w:tcPr>
            <w:tcW w:w="1200" w:type="dxa"/>
            <w:noWrap w:val="0"/>
            <w:vAlign w:val="center"/>
          </w:tcPr>
          <w:p>
            <w:pPr>
              <w:widowControl/>
              <w:snapToGrid w:val="0"/>
              <w:spacing w:line="360" w:lineRule="auto"/>
              <w:jc w:val="center"/>
              <w:textAlignment w:val="center"/>
              <w:rPr>
                <w:rFonts w:hint="eastAsia" w:ascii="宋体" w:hAnsi="宋体" w:eastAsia="宋体" w:cs="宋体"/>
                <w:b/>
                <w:color w:val="auto"/>
                <w:sz w:val="24"/>
                <w:szCs w:val="24"/>
              </w:rPr>
            </w:pPr>
            <w:r>
              <w:rPr>
                <w:rFonts w:hint="eastAsia" w:ascii="宋体" w:hAnsi="宋体" w:eastAsia="宋体" w:cs="宋体"/>
                <w:b/>
                <w:color w:val="auto"/>
                <w:sz w:val="24"/>
                <w:szCs w:val="24"/>
              </w:rPr>
              <w:t>评标因素</w:t>
            </w:r>
          </w:p>
        </w:tc>
        <w:tc>
          <w:tcPr>
            <w:tcW w:w="7566" w:type="dxa"/>
            <w:noWrap w:val="0"/>
            <w:vAlign w:val="center"/>
          </w:tcPr>
          <w:p>
            <w:pPr>
              <w:widowControl/>
              <w:snapToGrid w:val="0"/>
              <w:spacing w:line="360" w:lineRule="auto"/>
              <w:jc w:val="center"/>
              <w:textAlignment w:val="center"/>
              <w:rPr>
                <w:rFonts w:hint="eastAsia" w:ascii="宋体" w:hAnsi="宋体" w:eastAsia="宋体" w:cs="宋体"/>
                <w:b/>
                <w:color w:val="auto"/>
                <w:sz w:val="24"/>
                <w:szCs w:val="24"/>
              </w:rPr>
            </w:pPr>
            <w:r>
              <w:rPr>
                <w:rFonts w:hint="eastAsia" w:ascii="宋体" w:hAnsi="宋体" w:eastAsia="宋体" w:cs="宋体"/>
                <w:b/>
                <w:color w:val="auto"/>
                <w:sz w:val="24"/>
                <w:szCs w:val="24"/>
              </w:rPr>
              <w:t>评</w:t>
            </w:r>
            <w:r>
              <w:rPr>
                <w:rFonts w:hint="eastAsia" w:ascii="宋体" w:hAnsi="宋体" w:eastAsia="宋体" w:cs="宋体"/>
                <w:b/>
                <w:color w:val="auto"/>
                <w:sz w:val="24"/>
                <w:szCs w:val="24"/>
                <w:lang w:eastAsia="zh-CN"/>
              </w:rPr>
              <w:t>分</w:t>
            </w:r>
            <w:r>
              <w:rPr>
                <w:rFonts w:hint="eastAsia" w:ascii="宋体" w:hAnsi="宋体" w:eastAsia="宋体" w:cs="宋体"/>
                <w:b/>
                <w:color w:val="auto"/>
                <w:sz w:val="24"/>
                <w:szCs w:val="24"/>
              </w:rPr>
              <w:t>标准</w:t>
            </w:r>
          </w:p>
        </w:tc>
        <w:tc>
          <w:tcPr>
            <w:tcW w:w="734" w:type="dxa"/>
            <w:noWrap w:val="0"/>
            <w:vAlign w:val="center"/>
          </w:tcPr>
          <w:p>
            <w:pPr>
              <w:widowControl/>
              <w:snapToGrid w:val="0"/>
              <w:spacing w:line="360" w:lineRule="auto"/>
              <w:jc w:val="center"/>
              <w:textAlignment w:val="center"/>
              <w:rPr>
                <w:rFonts w:hint="eastAsia" w:ascii="宋体" w:hAnsi="宋体" w:eastAsia="宋体" w:cs="宋体"/>
                <w:b/>
                <w:color w:val="auto"/>
                <w:sz w:val="24"/>
                <w:szCs w:val="24"/>
              </w:rPr>
            </w:pPr>
            <w:r>
              <w:rPr>
                <w:rFonts w:hint="eastAsia" w:ascii="宋体" w:hAnsi="宋体" w:eastAsia="宋体" w:cs="宋体"/>
                <w:b/>
                <w:color w:val="auto"/>
                <w:sz w:val="24"/>
                <w:szCs w:val="24"/>
              </w:rPr>
              <w:t>分值</w:t>
            </w:r>
          </w:p>
        </w:tc>
        <w:tc>
          <w:tcPr>
            <w:tcW w:w="716" w:type="dxa"/>
            <w:noWrap w:val="0"/>
            <w:vAlign w:val="center"/>
          </w:tcPr>
          <w:p>
            <w:pPr>
              <w:widowControl/>
              <w:snapToGrid w:val="0"/>
              <w:spacing w:line="360" w:lineRule="auto"/>
              <w:jc w:val="center"/>
              <w:textAlignment w:val="center"/>
              <w:rPr>
                <w:rFonts w:hint="eastAsia" w:ascii="宋体" w:hAnsi="宋体" w:eastAsia="宋体" w:cs="宋体"/>
                <w:b/>
                <w:color w:val="auto"/>
                <w:sz w:val="24"/>
                <w:szCs w:val="24"/>
                <w:lang w:eastAsia="zh-CN"/>
              </w:rPr>
            </w:pPr>
            <w:r>
              <w:rPr>
                <w:rFonts w:hint="eastAsia" w:ascii="宋体" w:hAnsi="宋体" w:eastAsia="宋体" w:cs="宋体"/>
                <w:b/>
                <w:color w:val="auto"/>
                <w:sz w:val="24"/>
                <w:szCs w:val="24"/>
                <w:lang w:eastAsia="zh-CN"/>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489" w:hRule="atLeast"/>
        </w:trPr>
        <w:tc>
          <w:tcPr>
            <w:tcW w:w="767" w:type="dxa"/>
            <w:noWrap w:val="0"/>
            <w:vAlign w:val="center"/>
          </w:tcPr>
          <w:p>
            <w:pPr>
              <w:adjustRightInd w:val="0"/>
              <w:snapToGrid w:val="0"/>
              <w:spacing w:line="360" w:lineRule="auto"/>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1</w:t>
            </w:r>
          </w:p>
        </w:tc>
        <w:tc>
          <w:tcPr>
            <w:tcW w:w="1200" w:type="dxa"/>
            <w:noWrap w:val="0"/>
            <w:vAlign w:val="center"/>
          </w:tcPr>
          <w:p>
            <w:pPr>
              <w:widowControl/>
              <w:snapToGrid w:val="0"/>
              <w:spacing w:line="360" w:lineRule="auto"/>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价格部分</w:t>
            </w:r>
          </w:p>
          <w:p>
            <w:pPr>
              <w:widowControl/>
              <w:snapToGrid w:val="0"/>
              <w:spacing w:line="360" w:lineRule="auto"/>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w:t>
            </w:r>
            <w:r>
              <w:rPr>
                <w:rFonts w:hint="eastAsia" w:ascii="宋体" w:hAnsi="宋体" w:eastAsia="宋体" w:cs="宋体"/>
                <w:bCs/>
                <w:color w:val="auto"/>
                <w:sz w:val="24"/>
                <w:szCs w:val="24"/>
                <w:lang w:val="en-US" w:eastAsia="zh-CN"/>
              </w:rPr>
              <w:t>30</w:t>
            </w:r>
            <w:r>
              <w:rPr>
                <w:rFonts w:hint="eastAsia" w:ascii="宋体" w:hAnsi="宋体" w:eastAsia="宋体" w:cs="宋体"/>
                <w:bCs/>
                <w:color w:val="auto"/>
                <w:sz w:val="24"/>
                <w:szCs w:val="24"/>
              </w:rPr>
              <w:t>分)</w:t>
            </w:r>
          </w:p>
        </w:tc>
        <w:tc>
          <w:tcPr>
            <w:tcW w:w="7566" w:type="dxa"/>
            <w:noWrap w:val="0"/>
            <w:vAlign w:val="top"/>
          </w:tcPr>
          <w:p>
            <w:pPr>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综合评分法中的价格分统一采用低价优先法计算，即满足磋商文件要求且投标价格最低的投标报价为评标基准价，其价格分为满分，其他供应商的价格分统一按照下列计算（取小数点后两位）：</w:t>
            </w:r>
          </w:p>
          <w:p>
            <w:pPr>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投标报价得分=（评标基准价/投标报价）</w:t>
            </w:r>
            <w:r>
              <w:rPr>
                <w:rFonts w:hint="eastAsia" w:ascii="宋体" w:hAnsi="宋体" w:eastAsia="宋体" w:cs="宋体"/>
                <w:bCs/>
                <w:color w:val="auto"/>
                <w:sz w:val="24"/>
                <w:szCs w:val="24"/>
              </w:rPr>
              <w:t>×</w:t>
            </w:r>
            <w:r>
              <w:rPr>
                <w:rFonts w:hint="eastAsia" w:ascii="宋体" w:hAnsi="宋体" w:eastAsia="宋体" w:cs="宋体"/>
                <w:bCs/>
                <w:color w:val="auto"/>
                <w:sz w:val="24"/>
                <w:szCs w:val="24"/>
                <w:lang w:val="en-US" w:eastAsia="zh-CN"/>
              </w:rPr>
              <w:t>30</w:t>
            </w:r>
            <w:r>
              <w:rPr>
                <w:rFonts w:hint="eastAsia" w:ascii="宋体" w:hAnsi="宋体" w:eastAsia="宋体" w:cs="宋体"/>
                <w:bCs/>
                <w:color w:val="auto"/>
                <w:sz w:val="24"/>
                <w:szCs w:val="24"/>
              </w:rPr>
              <w:t>%×100。</w:t>
            </w:r>
          </w:p>
          <w:p>
            <w:pPr>
              <w:pStyle w:val="4"/>
              <w:snapToGrid w:val="0"/>
              <w:spacing w:line="360" w:lineRule="auto"/>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2</w:t>
            </w:r>
            <w:r>
              <w:rPr>
                <w:rFonts w:hint="eastAsia" w:ascii="宋体" w:hAnsi="宋体" w:eastAsia="宋体" w:cs="宋体"/>
                <w:color w:val="auto"/>
                <w:kern w:val="0"/>
                <w:sz w:val="24"/>
                <w:szCs w:val="24"/>
                <w:lang w:val="en-US" w:eastAsia="zh-CN" w:bidi="ar"/>
              </w:rPr>
              <w:t>.</w:t>
            </w:r>
            <w:r>
              <w:rPr>
                <w:rFonts w:hint="eastAsia" w:ascii="宋体" w:hAnsi="宋体" w:eastAsia="宋体" w:cs="宋体"/>
                <w:color w:val="auto"/>
                <w:kern w:val="0"/>
                <w:sz w:val="24"/>
                <w:szCs w:val="24"/>
                <w:lang w:bidi="ar"/>
              </w:rPr>
              <w:t>评标委员会认为投标供应商的报价明显低于其他通过符合性审查投标供应商的报价，有可能影响产品质量或者不能诚信履约的，评标委员会有权要求其在评标现场合理的时间内提供书面说明，必要时提交相关证明材料；投标供应商如不能证明其报价合理性的，评标委员会应当将其作为无效投标处理。</w:t>
            </w:r>
          </w:p>
        </w:tc>
        <w:tc>
          <w:tcPr>
            <w:tcW w:w="734" w:type="dxa"/>
            <w:noWrap w:val="0"/>
            <w:vAlign w:val="center"/>
          </w:tcPr>
          <w:p>
            <w:pPr>
              <w:adjustRightInd w:val="0"/>
              <w:snapToGrid w:val="0"/>
              <w:spacing w:line="360" w:lineRule="auto"/>
              <w:jc w:val="center"/>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30</w:t>
            </w:r>
          </w:p>
        </w:tc>
        <w:tc>
          <w:tcPr>
            <w:tcW w:w="716" w:type="dxa"/>
            <w:noWrap w:val="0"/>
            <w:vAlign w:val="center"/>
          </w:tcPr>
          <w:p>
            <w:pPr>
              <w:adjustRightInd w:val="0"/>
              <w:snapToGrid w:val="0"/>
              <w:spacing w:line="360" w:lineRule="auto"/>
              <w:jc w:val="center"/>
              <w:rPr>
                <w:rFonts w:hint="eastAsia" w:ascii="宋体" w:hAnsi="宋体" w:eastAsia="宋体" w:cs="宋体"/>
                <w:bCs/>
                <w:color w:val="auto"/>
                <w:sz w:val="24"/>
                <w:szCs w:val="24"/>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0" w:hRule="atLeast"/>
        </w:trPr>
        <w:tc>
          <w:tcPr>
            <w:tcW w:w="767" w:type="dxa"/>
            <w:vMerge w:val="restart"/>
            <w:noWrap w:val="0"/>
            <w:vAlign w:val="center"/>
          </w:tcPr>
          <w:p>
            <w:pPr>
              <w:snapToGrid w:val="0"/>
              <w:spacing w:line="360" w:lineRule="auto"/>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2</w:t>
            </w:r>
          </w:p>
        </w:tc>
        <w:tc>
          <w:tcPr>
            <w:tcW w:w="1200" w:type="dxa"/>
            <w:vMerge w:val="restart"/>
            <w:noWrap w:val="0"/>
            <w:vAlign w:val="center"/>
          </w:tcPr>
          <w:p>
            <w:pPr>
              <w:widowControl/>
              <w:snapToGrid w:val="0"/>
              <w:spacing w:line="360" w:lineRule="auto"/>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商务部分</w:t>
            </w:r>
          </w:p>
          <w:p>
            <w:pPr>
              <w:snapToGrid w:val="0"/>
              <w:spacing w:line="360" w:lineRule="auto"/>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w:t>
            </w:r>
            <w:r>
              <w:rPr>
                <w:rFonts w:hint="eastAsia" w:ascii="宋体" w:hAnsi="宋体" w:eastAsia="宋体" w:cs="宋体"/>
                <w:bCs/>
                <w:color w:val="auto"/>
                <w:sz w:val="24"/>
                <w:szCs w:val="24"/>
                <w:lang w:val="en-US" w:eastAsia="zh-CN"/>
              </w:rPr>
              <w:t>20</w:t>
            </w:r>
            <w:r>
              <w:rPr>
                <w:rFonts w:hint="eastAsia" w:ascii="宋体" w:hAnsi="宋体" w:eastAsia="宋体" w:cs="宋体"/>
                <w:bCs/>
                <w:color w:val="auto"/>
                <w:sz w:val="24"/>
                <w:szCs w:val="24"/>
              </w:rPr>
              <w:t>分)</w:t>
            </w:r>
          </w:p>
        </w:tc>
        <w:tc>
          <w:tcPr>
            <w:tcW w:w="7566" w:type="dxa"/>
            <w:tcBorders>
              <w:bottom w:val="single" w:color="auto" w:sz="4" w:space="0"/>
            </w:tcBorders>
            <w:noWrap w:val="0"/>
            <w:vAlign w:val="center"/>
          </w:tcPr>
          <w:p>
            <w:pPr>
              <w:pStyle w:val="4"/>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投标人提供近</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年类似</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与医疗行业相关</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项目业绩,每提供一项得</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分，满分</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分。（以中标合同或中标通知书复印件</w:t>
            </w:r>
            <w:r>
              <w:rPr>
                <w:rFonts w:hint="eastAsia" w:ascii="宋体" w:hAnsi="宋体" w:eastAsia="宋体" w:cs="宋体"/>
                <w:color w:val="auto"/>
                <w:sz w:val="24"/>
                <w:szCs w:val="24"/>
                <w:lang w:val="en-US" w:eastAsia="zh-CN"/>
              </w:rPr>
              <w:t>或视频成片</w:t>
            </w:r>
            <w:r>
              <w:rPr>
                <w:rFonts w:hint="eastAsia" w:ascii="宋体" w:hAnsi="宋体" w:eastAsia="宋体" w:cs="宋体"/>
                <w:color w:val="auto"/>
                <w:sz w:val="24"/>
                <w:szCs w:val="24"/>
              </w:rPr>
              <w:t>为准，未提供不得分）</w:t>
            </w:r>
          </w:p>
        </w:tc>
        <w:tc>
          <w:tcPr>
            <w:tcW w:w="734" w:type="dxa"/>
            <w:noWrap w:val="0"/>
            <w:vAlign w:val="center"/>
          </w:tcPr>
          <w:p>
            <w:pPr>
              <w:snapToGrid w:val="0"/>
              <w:spacing w:line="360" w:lineRule="auto"/>
              <w:jc w:val="center"/>
              <w:rPr>
                <w:rFonts w:hint="eastAsia" w:ascii="宋体" w:hAnsi="宋体" w:eastAsia="宋体" w:cs="宋体"/>
                <w:bCs/>
                <w:color w:val="auto"/>
                <w:sz w:val="24"/>
                <w:szCs w:val="24"/>
                <w:lang w:eastAsia="zh-CN"/>
              </w:rPr>
            </w:pPr>
            <w:r>
              <w:rPr>
                <w:rFonts w:hint="eastAsia" w:ascii="宋体" w:hAnsi="宋体" w:eastAsia="宋体" w:cs="宋体"/>
                <w:bCs/>
                <w:color w:val="auto"/>
                <w:sz w:val="24"/>
                <w:szCs w:val="24"/>
                <w:lang w:val="en-US" w:eastAsia="zh-CN"/>
              </w:rPr>
              <w:t>15</w:t>
            </w:r>
          </w:p>
        </w:tc>
        <w:tc>
          <w:tcPr>
            <w:tcW w:w="716" w:type="dxa"/>
            <w:noWrap w:val="0"/>
            <w:vAlign w:val="center"/>
          </w:tcPr>
          <w:p>
            <w:pPr>
              <w:snapToGrid w:val="0"/>
              <w:spacing w:line="360" w:lineRule="auto"/>
              <w:jc w:val="center"/>
              <w:rPr>
                <w:rFonts w:hint="eastAsia" w:ascii="宋体" w:hAnsi="宋体" w:eastAsia="宋体" w:cs="宋体"/>
                <w:bCs/>
                <w:color w:val="auto"/>
                <w:sz w:val="24"/>
                <w:szCs w:val="24"/>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0" w:hRule="atLeast"/>
        </w:trPr>
        <w:tc>
          <w:tcPr>
            <w:tcW w:w="767" w:type="dxa"/>
            <w:vMerge w:val="continue"/>
            <w:noWrap w:val="0"/>
            <w:vAlign w:val="center"/>
          </w:tcPr>
          <w:p>
            <w:pPr>
              <w:snapToGrid w:val="0"/>
              <w:spacing w:line="360" w:lineRule="auto"/>
              <w:jc w:val="center"/>
              <w:rPr>
                <w:rFonts w:hint="eastAsia" w:ascii="宋体" w:hAnsi="宋体" w:eastAsia="宋体" w:cs="宋体"/>
                <w:bCs/>
                <w:color w:val="auto"/>
                <w:sz w:val="24"/>
                <w:szCs w:val="24"/>
              </w:rPr>
            </w:pPr>
          </w:p>
        </w:tc>
        <w:tc>
          <w:tcPr>
            <w:tcW w:w="1200" w:type="dxa"/>
            <w:vMerge w:val="continue"/>
            <w:noWrap w:val="0"/>
            <w:vAlign w:val="center"/>
          </w:tcPr>
          <w:p>
            <w:pPr>
              <w:snapToGrid w:val="0"/>
              <w:spacing w:line="360" w:lineRule="auto"/>
              <w:jc w:val="center"/>
              <w:rPr>
                <w:rFonts w:hint="eastAsia" w:ascii="宋体" w:hAnsi="宋体" w:eastAsia="宋体" w:cs="宋体"/>
                <w:bCs/>
                <w:color w:val="auto"/>
                <w:sz w:val="24"/>
                <w:szCs w:val="24"/>
              </w:rPr>
            </w:pPr>
          </w:p>
        </w:tc>
        <w:tc>
          <w:tcPr>
            <w:tcW w:w="7566" w:type="dxa"/>
            <w:tcBorders>
              <w:bottom w:val="single" w:color="auto" w:sz="4" w:space="0"/>
            </w:tcBorders>
            <w:noWrap w:val="0"/>
            <w:vAlign w:val="center"/>
          </w:tcPr>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违约承诺：（满分5分）</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投标文件是否满足</w:t>
            </w:r>
            <w:r>
              <w:rPr>
                <w:rFonts w:hint="eastAsia" w:ascii="宋体" w:hAnsi="宋体" w:eastAsia="宋体" w:cs="宋体"/>
                <w:color w:val="auto"/>
                <w:sz w:val="24"/>
                <w:szCs w:val="24"/>
                <w:lang w:eastAsia="zh-CN"/>
              </w:rPr>
              <w:t>项目参数</w:t>
            </w:r>
            <w:r>
              <w:rPr>
                <w:rFonts w:hint="eastAsia" w:ascii="宋体" w:hAnsi="宋体" w:eastAsia="宋体" w:cs="宋体"/>
                <w:color w:val="auto"/>
                <w:sz w:val="24"/>
                <w:szCs w:val="24"/>
              </w:rPr>
              <w:t>要求，是否有违约责任承诺进行打分：完全满足</w:t>
            </w:r>
            <w:r>
              <w:rPr>
                <w:rFonts w:hint="eastAsia" w:ascii="宋体" w:hAnsi="宋体" w:eastAsia="宋体" w:cs="宋体"/>
                <w:color w:val="auto"/>
                <w:sz w:val="24"/>
                <w:szCs w:val="24"/>
                <w:lang w:eastAsia="zh-CN"/>
              </w:rPr>
              <w:t>项目参数</w:t>
            </w:r>
            <w:r>
              <w:rPr>
                <w:rFonts w:hint="eastAsia" w:ascii="宋体" w:hAnsi="宋体" w:eastAsia="宋体" w:cs="宋体"/>
                <w:color w:val="auto"/>
                <w:sz w:val="24"/>
                <w:szCs w:val="24"/>
              </w:rPr>
              <w:t>要求，有具体详细的违约责任承诺的得5分；满足</w:t>
            </w:r>
            <w:r>
              <w:rPr>
                <w:rFonts w:hint="eastAsia" w:ascii="宋体" w:hAnsi="宋体" w:eastAsia="宋体" w:cs="宋体"/>
                <w:color w:val="auto"/>
                <w:sz w:val="24"/>
                <w:szCs w:val="24"/>
                <w:lang w:eastAsia="zh-CN"/>
              </w:rPr>
              <w:t>项目参数</w:t>
            </w:r>
            <w:r>
              <w:rPr>
                <w:rFonts w:hint="eastAsia" w:ascii="宋体" w:hAnsi="宋体" w:eastAsia="宋体" w:cs="宋体"/>
                <w:color w:val="auto"/>
                <w:sz w:val="24"/>
                <w:szCs w:val="24"/>
              </w:rPr>
              <w:t>要求，有违约责任承诺的得2分；其他或未提供的不得分。</w:t>
            </w:r>
          </w:p>
        </w:tc>
        <w:tc>
          <w:tcPr>
            <w:tcW w:w="734" w:type="dxa"/>
            <w:noWrap w:val="0"/>
            <w:vAlign w:val="center"/>
          </w:tcPr>
          <w:p>
            <w:pPr>
              <w:snapToGrid w:val="0"/>
              <w:spacing w:line="360" w:lineRule="auto"/>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5</w:t>
            </w:r>
          </w:p>
        </w:tc>
        <w:tc>
          <w:tcPr>
            <w:tcW w:w="716" w:type="dxa"/>
            <w:noWrap w:val="0"/>
            <w:vAlign w:val="center"/>
          </w:tcPr>
          <w:p>
            <w:pPr>
              <w:snapToGrid w:val="0"/>
              <w:spacing w:line="360" w:lineRule="auto"/>
              <w:jc w:val="center"/>
              <w:rPr>
                <w:rFonts w:hint="eastAsia" w:ascii="宋体" w:hAnsi="宋体" w:eastAsia="宋体" w:cs="宋体"/>
                <w:bCs/>
                <w:color w:val="auto"/>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23" w:hRule="atLeast"/>
        </w:trPr>
        <w:tc>
          <w:tcPr>
            <w:tcW w:w="767" w:type="dxa"/>
            <w:vMerge w:val="restart"/>
            <w:tcBorders>
              <w:top w:val="single" w:color="auto" w:sz="4" w:space="0"/>
            </w:tcBorders>
            <w:noWrap w:val="0"/>
            <w:vAlign w:val="center"/>
          </w:tcPr>
          <w:p>
            <w:pPr>
              <w:snapToGrid w:val="0"/>
              <w:spacing w:line="360" w:lineRule="auto"/>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3</w:t>
            </w:r>
          </w:p>
        </w:tc>
        <w:tc>
          <w:tcPr>
            <w:tcW w:w="1200" w:type="dxa"/>
            <w:vMerge w:val="restart"/>
            <w:tcBorders>
              <w:top w:val="single" w:color="auto" w:sz="4" w:space="0"/>
            </w:tcBorders>
            <w:noWrap w:val="0"/>
            <w:vAlign w:val="center"/>
          </w:tcPr>
          <w:p>
            <w:pPr>
              <w:adjustRightInd w:val="0"/>
              <w:snapToGrid w:val="0"/>
              <w:spacing w:line="360" w:lineRule="auto"/>
              <w:jc w:val="center"/>
              <w:rPr>
                <w:rFonts w:hint="eastAsia" w:ascii="宋体" w:hAnsi="宋体" w:eastAsia="宋体" w:cs="宋体"/>
                <w:bCs/>
                <w:color w:val="auto"/>
                <w:sz w:val="24"/>
                <w:szCs w:val="24"/>
              </w:rPr>
            </w:pPr>
          </w:p>
          <w:p>
            <w:pPr>
              <w:adjustRightInd w:val="0"/>
              <w:snapToGrid w:val="0"/>
              <w:spacing w:line="360" w:lineRule="auto"/>
              <w:jc w:val="center"/>
              <w:rPr>
                <w:rFonts w:hint="eastAsia" w:ascii="宋体" w:hAnsi="宋体" w:eastAsia="宋体" w:cs="宋体"/>
                <w:bCs/>
                <w:color w:val="auto"/>
                <w:sz w:val="24"/>
                <w:szCs w:val="24"/>
              </w:rPr>
            </w:pPr>
          </w:p>
          <w:p>
            <w:pPr>
              <w:adjustRightInd w:val="0"/>
              <w:snapToGrid w:val="0"/>
              <w:spacing w:line="360" w:lineRule="auto"/>
              <w:jc w:val="center"/>
              <w:rPr>
                <w:rFonts w:hint="eastAsia" w:ascii="宋体" w:hAnsi="宋体" w:eastAsia="宋体" w:cs="宋体"/>
                <w:bCs/>
                <w:color w:val="auto"/>
                <w:sz w:val="24"/>
                <w:szCs w:val="24"/>
              </w:rPr>
            </w:pPr>
          </w:p>
          <w:p>
            <w:pPr>
              <w:adjustRightInd w:val="0"/>
              <w:snapToGrid w:val="0"/>
              <w:spacing w:line="360" w:lineRule="auto"/>
              <w:jc w:val="center"/>
              <w:rPr>
                <w:rFonts w:hint="eastAsia" w:ascii="宋体" w:hAnsi="宋体" w:eastAsia="宋体" w:cs="宋体"/>
                <w:bCs/>
                <w:color w:val="auto"/>
                <w:sz w:val="24"/>
                <w:szCs w:val="24"/>
              </w:rPr>
            </w:pPr>
          </w:p>
          <w:p>
            <w:pPr>
              <w:adjustRightInd w:val="0"/>
              <w:snapToGrid w:val="0"/>
              <w:spacing w:line="360" w:lineRule="auto"/>
              <w:jc w:val="center"/>
              <w:rPr>
                <w:rFonts w:hint="eastAsia" w:ascii="宋体" w:hAnsi="宋体" w:eastAsia="宋体" w:cs="宋体"/>
                <w:bCs/>
                <w:color w:val="auto"/>
                <w:sz w:val="24"/>
                <w:szCs w:val="24"/>
              </w:rPr>
            </w:pPr>
          </w:p>
          <w:p>
            <w:pPr>
              <w:adjustRightInd w:val="0"/>
              <w:snapToGrid w:val="0"/>
              <w:spacing w:line="360" w:lineRule="auto"/>
              <w:jc w:val="center"/>
              <w:rPr>
                <w:rFonts w:hint="eastAsia" w:ascii="宋体" w:hAnsi="宋体" w:eastAsia="宋体" w:cs="宋体"/>
                <w:bCs/>
                <w:color w:val="auto"/>
                <w:sz w:val="24"/>
                <w:szCs w:val="24"/>
              </w:rPr>
            </w:pPr>
          </w:p>
          <w:p>
            <w:pPr>
              <w:adjustRightInd w:val="0"/>
              <w:snapToGrid w:val="0"/>
              <w:spacing w:line="360" w:lineRule="auto"/>
              <w:jc w:val="center"/>
              <w:rPr>
                <w:rFonts w:hint="eastAsia" w:ascii="宋体" w:hAnsi="宋体" w:eastAsia="宋体" w:cs="宋体"/>
                <w:bCs/>
                <w:color w:val="auto"/>
                <w:sz w:val="24"/>
                <w:szCs w:val="24"/>
              </w:rPr>
            </w:pPr>
          </w:p>
          <w:p>
            <w:pPr>
              <w:adjustRightInd w:val="0"/>
              <w:snapToGrid w:val="0"/>
              <w:spacing w:line="360" w:lineRule="auto"/>
              <w:jc w:val="center"/>
              <w:rPr>
                <w:rFonts w:hint="eastAsia" w:ascii="宋体" w:hAnsi="宋体" w:eastAsia="宋体" w:cs="宋体"/>
                <w:bCs/>
                <w:color w:val="auto"/>
                <w:sz w:val="24"/>
                <w:szCs w:val="24"/>
              </w:rPr>
            </w:pPr>
          </w:p>
          <w:p>
            <w:pPr>
              <w:adjustRightInd w:val="0"/>
              <w:snapToGrid w:val="0"/>
              <w:spacing w:line="360" w:lineRule="auto"/>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技术部分</w:t>
            </w:r>
          </w:p>
          <w:p>
            <w:pPr>
              <w:snapToGrid w:val="0"/>
              <w:spacing w:line="360" w:lineRule="auto"/>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w:t>
            </w:r>
            <w:r>
              <w:rPr>
                <w:rFonts w:hint="eastAsia" w:ascii="宋体" w:hAnsi="宋体" w:eastAsia="宋体" w:cs="宋体"/>
                <w:bCs/>
                <w:color w:val="auto"/>
                <w:sz w:val="24"/>
                <w:szCs w:val="24"/>
                <w:lang w:val="en-US" w:eastAsia="zh-CN"/>
              </w:rPr>
              <w:t>40</w:t>
            </w:r>
            <w:r>
              <w:rPr>
                <w:rFonts w:hint="eastAsia" w:ascii="宋体" w:hAnsi="宋体" w:eastAsia="宋体" w:cs="宋体"/>
                <w:bCs/>
                <w:color w:val="auto"/>
                <w:sz w:val="24"/>
                <w:szCs w:val="24"/>
              </w:rPr>
              <w:t>分）</w:t>
            </w:r>
          </w:p>
        </w:tc>
        <w:tc>
          <w:tcPr>
            <w:tcW w:w="7566" w:type="dxa"/>
            <w:noWrap w:val="0"/>
            <w:vAlign w:val="center"/>
          </w:tcPr>
          <w:p>
            <w:pPr>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投标人具有</w:t>
            </w:r>
            <w:r>
              <w:rPr>
                <w:rFonts w:hint="eastAsia" w:ascii="宋体" w:hAnsi="宋体" w:eastAsia="宋体" w:cs="宋体"/>
                <w:color w:val="auto"/>
                <w:sz w:val="24"/>
                <w:szCs w:val="24"/>
                <w:lang w:val="en-US" w:eastAsia="zh-CN"/>
              </w:rPr>
              <w:t>专业影视制作</w:t>
            </w:r>
            <w:r>
              <w:rPr>
                <w:rFonts w:hint="eastAsia" w:ascii="宋体" w:hAnsi="宋体" w:eastAsia="宋体" w:cs="宋体"/>
                <w:color w:val="auto"/>
                <w:sz w:val="24"/>
                <w:szCs w:val="24"/>
              </w:rPr>
              <w:t>人员3 人以上得</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分，2人得</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分，1人得</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分，没有不得分。（需提供人员</w:t>
            </w:r>
            <w:r>
              <w:rPr>
                <w:rFonts w:hint="eastAsia" w:ascii="宋体" w:hAnsi="宋体" w:eastAsia="宋体" w:cs="宋体"/>
                <w:color w:val="auto"/>
                <w:sz w:val="24"/>
                <w:szCs w:val="24"/>
                <w:lang w:val="en-US" w:eastAsia="zh-CN"/>
              </w:rPr>
              <w:t>相关</w:t>
            </w:r>
            <w:r>
              <w:rPr>
                <w:rFonts w:hint="eastAsia" w:ascii="宋体" w:hAnsi="宋体" w:eastAsia="宋体" w:cs="宋体"/>
                <w:color w:val="auto"/>
                <w:sz w:val="24"/>
                <w:szCs w:val="24"/>
              </w:rPr>
              <w:t>证书复印件加盖公章，不提供不得分。）</w:t>
            </w:r>
          </w:p>
        </w:tc>
        <w:tc>
          <w:tcPr>
            <w:tcW w:w="734" w:type="dxa"/>
            <w:noWrap w:val="0"/>
            <w:vAlign w:val="center"/>
          </w:tcPr>
          <w:p>
            <w:pPr>
              <w:snapToGrid w:val="0"/>
              <w:spacing w:line="360" w:lineRule="auto"/>
              <w:jc w:val="center"/>
              <w:rPr>
                <w:rFonts w:hint="eastAsia" w:ascii="宋体" w:hAnsi="宋体" w:eastAsia="宋体" w:cs="宋体"/>
                <w:bCs/>
                <w:color w:val="auto"/>
                <w:sz w:val="24"/>
                <w:szCs w:val="24"/>
                <w:lang w:eastAsia="zh-CN"/>
              </w:rPr>
            </w:pPr>
            <w:r>
              <w:rPr>
                <w:rFonts w:hint="eastAsia" w:ascii="宋体" w:hAnsi="宋体" w:eastAsia="宋体" w:cs="宋体"/>
                <w:bCs/>
                <w:color w:val="auto"/>
                <w:sz w:val="24"/>
                <w:szCs w:val="24"/>
                <w:lang w:val="en-US" w:eastAsia="zh-CN"/>
              </w:rPr>
              <w:t>5</w:t>
            </w:r>
          </w:p>
        </w:tc>
        <w:tc>
          <w:tcPr>
            <w:tcW w:w="716" w:type="dxa"/>
            <w:noWrap w:val="0"/>
            <w:vAlign w:val="center"/>
          </w:tcPr>
          <w:p>
            <w:pPr>
              <w:snapToGrid w:val="0"/>
              <w:spacing w:line="360" w:lineRule="auto"/>
              <w:jc w:val="center"/>
              <w:rPr>
                <w:rFonts w:hint="eastAsia" w:ascii="宋体" w:hAnsi="宋体" w:eastAsia="宋体" w:cs="宋体"/>
                <w:bCs/>
                <w:color w:val="auto"/>
                <w:sz w:val="24"/>
                <w:szCs w:val="24"/>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23" w:hRule="atLeast"/>
        </w:trPr>
        <w:tc>
          <w:tcPr>
            <w:tcW w:w="767" w:type="dxa"/>
            <w:vMerge w:val="continue"/>
            <w:noWrap w:val="0"/>
            <w:vAlign w:val="center"/>
          </w:tcPr>
          <w:p>
            <w:pPr>
              <w:snapToGrid w:val="0"/>
              <w:spacing w:line="360" w:lineRule="auto"/>
              <w:jc w:val="center"/>
              <w:rPr>
                <w:rFonts w:hint="eastAsia" w:ascii="宋体" w:hAnsi="宋体" w:eastAsia="宋体" w:cs="宋体"/>
                <w:bCs/>
                <w:color w:val="auto"/>
                <w:sz w:val="24"/>
                <w:szCs w:val="24"/>
              </w:rPr>
            </w:pPr>
          </w:p>
        </w:tc>
        <w:tc>
          <w:tcPr>
            <w:tcW w:w="1200" w:type="dxa"/>
            <w:vMerge w:val="continue"/>
            <w:noWrap w:val="0"/>
            <w:vAlign w:val="center"/>
          </w:tcPr>
          <w:p>
            <w:pPr>
              <w:snapToGrid w:val="0"/>
              <w:spacing w:line="360" w:lineRule="auto"/>
              <w:jc w:val="center"/>
              <w:rPr>
                <w:rFonts w:hint="eastAsia" w:ascii="宋体" w:hAnsi="宋体" w:eastAsia="宋体" w:cs="宋体"/>
                <w:bCs/>
                <w:color w:val="auto"/>
                <w:sz w:val="24"/>
                <w:szCs w:val="24"/>
              </w:rPr>
            </w:pPr>
          </w:p>
        </w:tc>
        <w:tc>
          <w:tcPr>
            <w:tcW w:w="7566" w:type="dxa"/>
            <w:noWrap w:val="0"/>
            <w:vAlign w:val="center"/>
          </w:tcPr>
          <w:p>
            <w:pPr>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投标人提供相应</w:t>
            </w:r>
            <w:r>
              <w:rPr>
                <w:rFonts w:hint="eastAsia" w:ascii="宋体" w:hAnsi="宋体" w:eastAsia="宋体" w:cs="宋体"/>
                <w:color w:val="auto"/>
                <w:sz w:val="24"/>
                <w:szCs w:val="24"/>
                <w:lang w:val="en-US" w:eastAsia="zh-CN"/>
              </w:rPr>
              <w:t>影视制作设备和办公场所</w:t>
            </w:r>
            <w:r>
              <w:rPr>
                <w:rFonts w:hint="eastAsia" w:ascii="宋体" w:hAnsi="宋体" w:eastAsia="宋体" w:cs="宋体"/>
                <w:color w:val="auto"/>
                <w:sz w:val="24"/>
                <w:szCs w:val="24"/>
              </w:rPr>
              <w:t>的得</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分，不提供不得分。</w:t>
            </w:r>
          </w:p>
        </w:tc>
        <w:tc>
          <w:tcPr>
            <w:tcW w:w="734" w:type="dxa"/>
            <w:noWrap w:val="0"/>
            <w:vAlign w:val="center"/>
          </w:tcPr>
          <w:p>
            <w:pPr>
              <w:snapToGrid w:val="0"/>
              <w:spacing w:line="360" w:lineRule="auto"/>
              <w:jc w:val="center"/>
              <w:rPr>
                <w:rFonts w:hint="eastAsia" w:ascii="宋体" w:hAnsi="宋体" w:eastAsia="宋体" w:cs="宋体"/>
                <w:bCs/>
                <w:color w:val="auto"/>
                <w:sz w:val="24"/>
                <w:szCs w:val="24"/>
                <w:lang w:eastAsia="zh-CN"/>
              </w:rPr>
            </w:pPr>
            <w:r>
              <w:rPr>
                <w:rFonts w:hint="eastAsia" w:ascii="宋体" w:hAnsi="宋体" w:eastAsia="宋体" w:cs="宋体"/>
                <w:bCs/>
                <w:color w:val="auto"/>
                <w:sz w:val="24"/>
                <w:szCs w:val="24"/>
                <w:lang w:val="en-US" w:eastAsia="zh-CN"/>
              </w:rPr>
              <w:t>2</w:t>
            </w:r>
          </w:p>
        </w:tc>
        <w:tc>
          <w:tcPr>
            <w:tcW w:w="716" w:type="dxa"/>
            <w:noWrap w:val="0"/>
            <w:vAlign w:val="center"/>
          </w:tcPr>
          <w:p>
            <w:pPr>
              <w:snapToGrid w:val="0"/>
              <w:spacing w:line="360" w:lineRule="auto"/>
              <w:jc w:val="center"/>
              <w:rPr>
                <w:rFonts w:hint="eastAsia" w:ascii="宋体" w:hAnsi="宋体" w:eastAsia="宋体" w:cs="宋体"/>
                <w:bCs/>
                <w:color w:val="auto"/>
                <w:sz w:val="24"/>
                <w:szCs w:val="24"/>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23" w:hRule="atLeast"/>
        </w:trPr>
        <w:tc>
          <w:tcPr>
            <w:tcW w:w="767" w:type="dxa"/>
            <w:vMerge w:val="continue"/>
            <w:noWrap w:val="0"/>
            <w:vAlign w:val="center"/>
          </w:tcPr>
          <w:p>
            <w:pPr>
              <w:snapToGrid w:val="0"/>
              <w:spacing w:line="360" w:lineRule="auto"/>
              <w:jc w:val="center"/>
              <w:rPr>
                <w:rFonts w:hint="eastAsia" w:ascii="宋体" w:hAnsi="宋体" w:eastAsia="宋体" w:cs="宋体"/>
                <w:bCs/>
                <w:color w:val="auto"/>
                <w:sz w:val="24"/>
                <w:szCs w:val="24"/>
              </w:rPr>
            </w:pPr>
          </w:p>
        </w:tc>
        <w:tc>
          <w:tcPr>
            <w:tcW w:w="1200" w:type="dxa"/>
            <w:vMerge w:val="continue"/>
            <w:noWrap w:val="0"/>
            <w:vAlign w:val="center"/>
          </w:tcPr>
          <w:p>
            <w:pPr>
              <w:snapToGrid w:val="0"/>
              <w:spacing w:line="360" w:lineRule="auto"/>
              <w:jc w:val="center"/>
              <w:rPr>
                <w:rFonts w:hint="eastAsia" w:ascii="宋体" w:hAnsi="宋体" w:eastAsia="宋体" w:cs="宋体"/>
                <w:bCs/>
                <w:color w:val="auto"/>
                <w:sz w:val="24"/>
                <w:szCs w:val="24"/>
              </w:rPr>
            </w:pPr>
          </w:p>
        </w:tc>
        <w:tc>
          <w:tcPr>
            <w:tcW w:w="7566" w:type="dxa"/>
            <w:noWrap w:val="0"/>
            <w:vAlign w:val="center"/>
          </w:tcPr>
          <w:p>
            <w:pPr>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要求提供样</w:t>
            </w:r>
            <w:r>
              <w:rPr>
                <w:rFonts w:hint="eastAsia" w:ascii="宋体" w:hAnsi="宋体" w:eastAsia="宋体" w:cs="宋体"/>
                <w:color w:val="auto"/>
                <w:sz w:val="24"/>
                <w:szCs w:val="24"/>
                <w:lang w:val="en-US" w:eastAsia="zh-CN"/>
              </w:rPr>
              <w:t>片</w:t>
            </w:r>
            <w:r>
              <w:rPr>
                <w:rFonts w:hint="eastAsia" w:ascii="宋体" w:hAnsi="宋体" w:eastAsia="宋体" w:cs="宋体"/>
                <w:color w:val="auto"/>
                <w:sz w:val="24"/>
                <w:szCs w:val="24"/>
              </w:rPr>
              <w:t>，未提供样</w:t>
            </w:r>
            <w:r>
              <w:rPr>
                <w:rFonts w:hint="eastAsia" w:ascii="宋体" w:hAnsi="宋体" w:eastAsia="宋体" w:cs="宋体"/>
                <w:color w:val="auto"/>
                <w:sz w:val="24"/>
                <w:szCs w:val="24"/>
                <w:lang w:val="en-US" w:eastAsia="zh-CN"/>
              </w:rPr>
              <w:t>片</w:t>
            </w:r>
            <w:r>
              <w:rPr>
                <w:rFonts w:hint="eastAsia" w:ascii="宋体" w:hAnsi="宋体" w:eastAsia="宋体" w:cs="宋体"/>
                <w:color w:val="auto"/>
                <w:sz w:val="24"/>
                <w:szCs w:val="24"/>
              </w:rPr>
              <w:t>不得分。</w:t>
            </w:r>
          </w:p>
          <w:p>
            <w:pPr>
              <w:spacing w:line="360" w:lineRule="auto"/>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投标人须按</w:t>
            </w:r>
            <w:r>
              <w:rPr>
                <w:rFonts w:hint="eastAsia" w:ascii="宋体" w:hAnsi="宋体" w:eastAsia="宋体" w:cs="宋体"/>
                <w:color w:val="auto"/>
                <w:sz w:val="24"/>
                <w:szCs w:val="24"/>
                <w:lang w:eastAsia="zh-CN"/>
              </w:rPr>
              <w:t>项目参数</w:t>
            </w:r>
            <w:r>
              <w:rPr>
                <w:rFonts w:hint="eastAsia" w:ascii="宋体" w:hAnsi="宋体" w:eastAsia="宋体" w:cs="宋体"/>
                <w:color w:val="auto"/>
                <w:sz w:val="24"/>
                <w:szCs w:val="24"/>
              </w:rPr>
              <w:t>要求提供样</w:t>
            </w:r>
            <w:r>
              <w:rPr>
                <w:rFonts w:hint="eastAsia" w:ascii="宋体" w:hAnsi="宋体" w:eastAsia="宋体" w:cs="宋体"/>
                <w:color w:val="auto"/>
                <w:sz w:val="24"/>
                <w:szCs w:val="24"/>
                <w:lang w:val="en-US" w:eastAsia="zh-CN"/>
              </w:rPr>
              <w:t>片</w:t>
            </w:r>
            <w:r>
              <w:rPr>
                <w:rFonts w:hint="eastAsia" w:ascii="宋体" w:hAnsi="宋体" w:eastAsia="宋体" w:cs="宋体"/>
                <w:color w:val="auto"/>
                <w:sz w:val="24"/>
                <w:szCs w:val="24"/>
              </w:rPr>
              <w:t>。根据样</w:t>
            </w:r>
            <w:r>
              <w:rPr>
                <w:rFonts w:hint="eastAsia" w:ascii="宋体" w:hAnsi="宋体" w:eastAsia="宋体" w:cs="宋体"/>
                <w:color w:val="auto"/>
                <w:sz w:val="24"/>
                <w:szCs w:val="24"/>
                <w:lang w:val="en-US" w:eastAsia="zh-CN"/>
              </w:rPr>
              <w:t>片制作水平</w:t>
            </w:r>
            <w:r>
              <w:rPr>
                <w:rFonts w:hint="eastAsia" w:ascii="宋体" w:hAnsi="宋体" w:eastAsia="宋体" w:cs="宋体"/>
                <w:color w:val="auto"/>
                <w:sz w:val="24"/>
                <w:szCs w:val="24"/>
              </w:rPr>
              <w:t>进行综合评审。完全符合项目需求的得10分；基本符合项目需求的得6分；一般得3分；</w:t>
            </w:r>
            <w:r>
              <w:rPr>
                <w:rFonts w:hint="eastAsia" w:ascii="宋体" w:hAnsi="宋体" w:eastAsia="宋体" w:cs="宋体"/>
                <w:color w:val="auto"/>
                <w:sz w:val="24"/>
                <w:szCs w:val="24"/>
                <w:lang w:val="en-US" w:eastAsia="zh-CN"/>
              </w:rPr>
              <w:t>其他不得分。</w:t>
            </w:r>
          </w:p>
        </w:tc>
        <w:tc>
          <w:tcPr>
            <w:tcW w:w="734" w:type="dxa"/>
            <w:noWrap w:val="0"/>
            <w:vAlign w:val="center"/>
          </w:tcPr>
          <w:p>
            <w:pPr>
              <w:snapToGrid w:val="0"/>
              <w:spacing w:line="360" w:lineRule="auto"/>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10</w:t>
            </w:r>
          </w:p>
        </w:tc>
        <w:tc>
          <w:tcPr>
            <w:tcW w:w="716" w:type="dxa"/>
            <w:noWrap w:val="0"/>
            <w:vAlign w:val="center"/>
          </w:tcPr>
          <w:p>
            <w:pPr>
              <w:snapToGrid w:val="0"/>
              <w:spacing w:line="360" w:lineRule="auto"/>
              <w:jc w:val="center"/>
              <w:rPr>
                <w:rFonts w:hint="eastAsia" w:ascii="宋体" w:hAnsi="宋体" w:eastAsia="宋体" w:cs="宋体"/>
                <w:bCs/>
                <w:color w:val="auto"/>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23" w:hRule="atLeast"/>
        </w:trPr>
        <w:tc>
          <w:tcPr>
            <w:tcW w:w="767" w:type="dxa"/>
            <w:vMerge w:val="continue"/>
            <w:noWrap w:val="0"/>
            <w:vAlign w:val="center"/>
          </w:tcPr>
          <w:p>
            <w:pPr>
              <w:snapToGrid w:val="0"/>
              <w:spacing w:line="360" w:lineRule="auto"/>
              <w:jc w:val="center"/>
              <w:rPr>
                <w:rFonts w:hint="eastAsia" w:ascii="宋体" w:hAnsi="宋体" w:eastAsia="宋体" w:cs="宋体"/>
                <w:bCs/>
                <w:color w:val="auto"/>
                <w:sz w:val="24"/>
                <w:szCs w:val="24"/>
              </w:rPr>
            </w:pPr>
          </w:p>
        </w:tc>
        <w:tc>
          <w:tcPr>
            <w:tcW w:w="1200" w:type="dxa"/>
            <w:vMerge w:val="continue"/>
            <w:noWrap w:val="0"/>
            <w:vAlign w:val="center"/>
          </w:tcPr>
          <w:p>
            <w:pPr>
              <w:snapToGrid w:val="0"/>
              <w:spacing w:line="360" w:lineRule="auto"/>
              <w:jc w:val="center"/>
              <w:rPr>
                <w:rFonts w:hint="eastAsia" w:ascii="宋体" w:hAnsi="宋体" w:eastAsia="宋体" w:cs="宋体"/>
                <w:bCs/>
                <w:color w:val="auto"/>
                <w:sz w:val="24"/>
                <w:szCs w:val="24"/>
              </w:rPr>
            </w:pPr>
          </w:p>
        </w:tc>
        <w:tc>
          <w:tcPr>
            <w:tcW w:w="7566" w:type="dxa"/>
            <w:noWrap w:val="0"/>
            <w:vAlign w:val="center"/>
          </w:tcPr>
          <w:p>
            <w:pPr>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投标人针对本项目制定的服务方案，包括对于采购单位</w:t>
            </w:r>
            <w:r>
              <w:rPr>
                <w:rFonts w:hint="eastAsia" w:ascii="宋体" w:hAnsi="宋体" w:eastAsia="宋体" w:cs="宋体"/>
                <w:color w:val="auto"/>
                <w:sz w:val="24"/>
                <w:szCs w:val="24"/>
                <w:lang w:val="en-US" w:eastAsia="zh-CN"/>
              </w:rPr>
              <w:t>影视制作</w:t>
            </w:r>
            <w:r>
              <w:rPr>
                <w:rFonts w:hint="eastAsia" w:ascii="宋体" w:hAnsi="宋体" w:eastAsia="宋体" w:cs="宋体"/>
                <w:color w:val="auto"/>
                <w:sz w:val="24"/>
                <w:szCs w:val="24"/>
              </w:rPr>
              <w:t>需求的确定、</w:t>
            </w:r>
            <w:r>
              <w:rPr>
                <w:rFonts w:hint="eastAsia" w:ascii="宋体" w:hAnsi="宋体" w:eastAsia="宋体" w:cs="宋体"/>
                <w:color w:val="auto"/>
                <w:sz w:val="24"/>
                <w:szCs w:val="24"/>
                <w:lang w:val="en-US" w:eastAsia="zh-CN"/>
              </w:rPr>
              <w:t>拍摄制作</w:t>
            </w:r>
            <w:r>
              <w:rPr>
                <w:rFonts w:hint="eastAsia" w:ascii="宋体" w:hAnsi="宋体" w:eastAsia="宋体" w:cs="宋体"/>
                <w:color w:val="auto"/>
                <w:sz w:val="24"/>
                <w:szCs w:val="24"/>
              </w:rPr>
              <w:t>等环节的管理措施；技术标准、交付时限等环节的管理措施等；对采购人的紧急</w:t>
            </w:r>
            <w:r>
              <w:rPr>
                <w:rFonts w:hint="eastAsia" w:ascii="宋体" w:hAnsi="宋体" w:eastAsia="宋体" w:cs="宋体"/>
                <w:color w:val="auto"/>
                <w:sz w:val="24"/>
                <w:szCs w:val="24"/>
                <w:lang w:val="en-US" w:eastAsia="zh-CN"/>
              </w:rPr>
              <w:t>拍摄</w:t>
            </w:r>
            <w:r>
              <w:rPr>
                <w:rFonts w:hint="eastAsia" w:ascii="宋体" w:hAnsi="宋体" w:eastAsia="宋体" w:cs="宋体"/>
                <w:color w:val="auto"/>
                <w:sz w:val="24"/>
                <w:szCs w:val="24"/>
              </w:rPr>
              <w:t>需求制定的应急预案，能够保障招标人的权益；</w:t>
            </w:r>
          </w:p>
          <w:p>
            <w:pPr>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服务方案和应急预案完整详细、针对性强、完全满足采购单位需求得</w:t>
            </w:r>
            <w:r>
              <w:rPr>
                <w:rFonts w:hint="eastAsia" w:ascii="宋体" w:hAnsi="宋体" w:eastAsia="宋体" w:cs="宋体"/>
                <w:color w:val="auto"/>
                <w:sz w:val="24"/>
                <w:szCs w:val="24"/>
                <w:lang w:val="en-US" w:eastAsia="zh-CN"/>
              </w:rPr>
              <w:t>20</w:t>
            </w:r>
            <w:r>
              <w:rPr>
                <w:rFonts w:hint="eastAsia" w:ascii="宋体" w:hAnsi="宋体" w:eastAsia="宋体" w:cs="宋体"/>
                <w:color w:val="auto"/>
                <w:sz w:val="24"/>
                <w:szCs w:val="24"/>
              </w:rPr>
              <w:t>分，服务方案和应急预案内容基本完整，基本满足采购单位需求的得</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分，服务方案和应急预案内容不完整的得</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分，不提供不得分。</w:t>
            </w:r>
          </w:p>
        </w:tc>
        <w:tc>
          <w:tcPr>
            <w:tcW w:w="734" w:type="dxa"/>
            <w:noWrap w:val="0"/>
            <w:vAlign w:val="center"/>
          </w:tcPr>
          <w:p>
            <w:pPr>
              <w:snapToGrid w:val="0"/>
              <w:spacing w:line="360" w:lineRule="auto"/>
              <w:jc w:val="center"/>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20</w:t>
            </w:r>
          </w:p>
        </w:tc>
        <w:tc>
          <w:tcPr>
            <w:tcW w:w="716" w:type="dxa"/>
            <w:noWrap w:val="0"/>
            <w:vAlign w:val="center"/>
          </w:tcPr>
          <w:p>
            <w:pPr>
              <w:snapToGrid w:val="0"/>
              <w:spacing w:line="360" w:lineRule="auto"/>
              <w:jc w:val="center"/>
              <w:rPr>
                <w:rFonts w:hint="eastAsia" w:ascii="宋体" w:hAnsi="宋体" w:eastAsia="宋体" w:cs="宋体"/>
                <w:bCs/>
                <w:color w:val="auto"/>
                <w:sz w:val="24"/>
                <w:szCs w:val="24"/>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23" w:hRule="atLeast"/>
        </w:trPr>
        <w:tc>
          <w:tcPr>
            <w:tcW w:w="767" w:type="dxa"/>
            <w:vMerge w:val="continue"/>
            <w:noWrap w:val="0"/>
            <w:vAlign w:val="center"/>
          </w:tcPr>
          <w:p>
            <w:pPr>
              <w:snapToGrid w:val="0"/>
              <w:spacing w:line="360" w:lineRule="auto"/>
              <w:jc w:val="center"/>
              <w:rPr>
                <w:rFonts w:hint="eastAsia" w:ascii="宋体" w:hAnsi="宋体" w:eastAsia="宋体" w:cs="宋体"/>
                <w:bCs/>
                <w:color w:val="auto"/>
                <w:sz w:val="24"/>
                <w:szCs w:val="24"/>
              </w:rPr>
            </w:pPr>
          </w:p>
        </w:tc>
        <w:tc>
          <w:tcPr>
            <w:tcW w:w="1200" w:type="dxa"/>
            <w:vMerge w:val="continue"/>
            <w:noWrap w:val="0"/>
            <w:vAlign w:val="center"/>
          </w:tcPr>
          <w:p>
            <w:pPr>
              <w:snapToGrid w:val="0"/>
              <w:spacing w:line="360" w:lineRule="auto"/>
              <w:jc w:val="center"/>
              <w:rPr>
                <w:rFonts w:hint="eastAsia" w:ascii="宋体" w:hAnsi="宋体" w:eastAsia="宋体" w:cs="宋体"/>
                <w:bCs/>
                <w:color w:val="auto"/>
                <w:sz w:val="24"/>
                <w:szCs w:val="24"/>
              </w:rPr>
            </w:pPr>
          </w:p>
        </w:tc>
        <w:tc>
          <w:tcPr>
            <w:tcW w:w="7566" w:type="dxa"/>
            <w:noWrap w:val="0"/>
            <w:vAlign w:val="center"/>
          </w:tcPr>
          <w:p>
            <w:pPr>
              <w:pStyle w:val="5"/>
              <w:spacing w:line="360" w:lineRule="auto"/>
              <w:ind w:left="0" w:leftChars="0" w:firstLine="0" w:firstLineChars="0"/>
              <w:rPr>
                <w:rFonts w:hint="eastAsia" w:ascii="宋体" w:hAnsi="宋体" w:eastAsia="宋体" w:cs="宋体"/>
                <w:color w:val="auto"/>
                <w:sz w:val="24"/>
                <w:szCs w:val="24"/>
              </w:rPr>
            </w:pPr>
            <w:r>
              <w:rPr>
                <w:rFonts w:hint="eastAsia" w:ascii="宋体" w:hAnsi="宋体" w:eastAsia="宋体" w:cs="宋体"/>
                <w:sz w:val="24"/>
                <w:szCs w:val="24"/>
              </w:rPr>
              <w:t>成品如发生</w:t>
            </w:r>
            <w:r>
              <w:rPr>
                <w:rFonts w:hint="eastAsia" w:ascii="宋体" w:hAnsi="宋体" w:eastAsia="宋体" w:cs="宋体"/>
                <w:sz w:val="24"/>
                <w:szCs w:val="24"/>
                <w:lang w:val="en-US" w:eastAsia="zh-CN"/>
              </w:rPr>
              <w:t>拍摄</w:t>
            </w:r>
            <w:r>
              <w:rPr>
                <w:rFonts w:hint="eastAsia" w:ascii="宋体" w:hAnsi="宋体" w:eastAsia="宋体" w:cs="宋体"/>
                <w:sz w:val="24"/>
                <w:szCs w:val="24"/>
              </w:rPr>
              <w:t>、</w:t>
            </w:r>
            <w:r>
              <w:rPr>
                <w:rFonts w:hint="eastAsia" w:ascii="宋体" w:hAnsi="宋体" w:eastAsia="宋体" w:cs="宋体"/>
                <w:sz w:val="24"/>
                <w:szCs w:val="24"/>
                <w:lang w:val="en-US" w:eastAsia="zh-CN"/>
              </w:rPr>
              <w:t>剪辑</w:t>
            </w:r>
            <w:r>
              <w:rPr>
                <w:rFonts w:hint="eastAsia" w:ascii="宋体" w:hAnsi="宋体" w:eastAsia="宋体" w:cs="宋体"/>
                <w:sz w:val="24"/>
                <w:szCs w:val="24"/>
              </w:rPr>
              <w:t>错误等质量问题，供应商承诺免费更换的得</w:t>
            </w:r>
            <w:r>
              <w:rPr>
                <w:rFonts w:hint="eastAsia" w:ascii="宋体" w:hAnsi="宋体" w:eastAsia="宋体" w:cs="宋体"/>
                <w:sz w:val="24"/>
                <w:szCs w:val="24"/>
                <w:lang w:val="en-US" w:eastAsia="zh-CN"/>
              </w:rPr>
              <w:t>3</w:t>
            </w:r>
            <w:r>
              <w:rPr>
                <w:rFonts w:hint="eastAsia" w:ascii="宋体" w:hAnsi="宋体" w:eastAsia="宋体" w:cs="宋体"/>
                <w:sz w:val="24"/>
                <w:szCs w:val="24"/>
              </w:rPr>
              <w:t>分</w:t>
            </w:r>
            <w:r>
              <w:rPr>
                <w:rFonts w:hint="eastAsia" w:ascii="宋体" w:hAnsi="宋体" w:eastAsia="宋体" w:cs="宋体"/>
                <w:sz w:val="24"/>
                <w:szCs w:val="24"/>
                <w:lang w:eastAsia="zh-CN"/>
              </w:rPr>
              <w:t>，</w:t>
            </w:r>
            <w:r>
              <w:rPr>
                <w:rFonts w:hint="eastAsia" w:ascii="宋体" w:hAnsi="宋体" w:eastAsia="宋体" w:cs="宋体"/>
                <w:sz w:val="24"/>
                <w:szCs w:val="24"/>
              </w:rPr>
              <w:t>不更换不得分。</w:t>
            </w:r>
          </w:p>
        </w:tc>
        <w:tc>
          <w:tcPr>
            <w:tcW w:w="734" w:type="dxa"/>
            <w:noWrap w:val="0"/>
            <w:vAlign w:val="center"/>
          </w:tcPr>
          <w:p>
            <w:pPr>
              <w:snapToGrid w:val="0"/>
              <w:spacing w:line="360" w:lineRule="auto"/>
              <w:jc w:val="center"/>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3</w:t>
            </w:r>
          </w:p>
        </w:tc>
        <w:tc>
          <w:tcPr>
            <w:tcW w:w="716" w:type="dxa"/>
            <w:noWrap w:val="0"/>
            <w:vAlign w:val="center"/>
          </w:tcPr>
          <w:p>
            <w:pPr>
              <w:snapToGrid w:val="0"/>
              <w:spacing w:line="360" w:lineRule="auto"/>
              <w:jc w:val="center"/>
              <w:rPr>
                <w:rFonts w:hint="eastAsia" w:ascii="宋体" w:hAnsi="宋体" w:eastAsia="宋体" w:cs="宋体"/>
                <w:bCs/>
                <w:color w:val="auto"/>
                <w:sz w:val="24"/>
                <w:szCs w:val="24"/>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67" w:type="dxa"/>
            <w:noWrap w:val="0"/>
            <w:vAlign w:val="center"/>
          </w:tcPr>
          <w:p>
            <w:pPr>
              <w:snapToGrid w:val="0"/>
              <w:spacing w:line="360" w:lineRule="auto"/>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4</w:t>
            </w:r>
          </w:p>
        </w:tc>
        <w:tc>
          <w:tcPr>
            <w:tcW w:w="1200" w:type="dxa"/>
            <w:noWrap w:val="0"/>
            <w:vAlign w:val="center"/>
          </w:tcPr>
          <w:p>
            <w:pPr>
              <w:snapToGrid w:val="0"/>
              <w:spacing w:line="360" w:lineRule="auto"/>
              <w:jc w:val="both"/>
              <w:rPr>
                <w:rFonts w:hint="eastAsia" w:ascii="宋体" w:hAnsi="宋体" w:eastAsia="宋体" w:cs="宋体"/>
                <w:color w:val="auto"/>
                <w:sz w:val="24"/>
                <w:szCs w:val="24"/>
              </w:rPr>
            </w:pPr>
            <w:r>
              <w:rPr>
                <w:rFonts w:hint="eastAsia" w:ascii="宋体" w:hAnsi="宋体" w:eastAsia="宋体" w:cs="宋体"/>
                <w:color w:val="auto"/>
                <w:sz w:val="24"/>
                <w:szCs w:val="24"/>
              </w:rPr>
              <w:t>磋商陈述</w:t>
            </w:r>
          </w:p>
          <w:p>
            <w:pPr>
              <w:pStyle w:val="5"/>
              <w:spacing w:line="360" w:lineRule="auto"/>
              <w:ind w:left="0" w:leftChars="0" w:firstLine="0" w:firstLineChars="0"/>
              <w:rPr>
                <w:rFonts w:hint="eastAsia" w:ascii="宋体" w:hAnsi="宋体" w:eastAsia="宋体" w:cs="宋体"/>
                <w:color w:val="auto"/>
                <w:sz w:val="24"/>
                <w:szCs w:val="24"/>
              </w:rPr>
            </w:pPr>
            <w:r>
              <w:rPr>
                <w:rFonts w:hint="eastAsia" w:ascii="宋体" w:hAnsi="宋体" w:eastAsia="宋体" w:cs="宋体"/>
                <w:bCs/>
                <w:color w:val="auto"/>
                <w:sz w:val="24"/>
                <w:szCs w:val="24"/>
              </w:rPr>
              <w:t>（10分）</w:t>
            </w:r>
          </w:p>
        </w:tc>
        <w:tc>
          <w:tcPr>
            <w:tcW w:w="7566" w:type="dxa"/>
            <w:noWrap w:val="0"/>
            <w:vAlign w:val="center"/>
          </w:tcPr>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人根据采购单位情况，对服务方案、服务质量、能力、应急方案等方面进行阐述：投标供应商叙述全面简洁、方案合理可行得10分；投标供应商叙述全面、方案合理得6分；投标供应商叙述片面、方案可行得2分；不陈述不得分。</w:t>
            </w:r>
          </w:p>
        </w:tc>
        <w:tc>
          <w:tcPr>
            <w:tcW w:w="734" w:type="dxa"/>
            <w:noWrap w:val="0"/>
            <w:vAlign w:val="center"/>
          </w:tcPr>
          <w:p>
            <w:pPr>
              <w:snapToGrid w:val="0"/>
              <w:spacing w:line="360" w:lineRule="auto"/>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10</w:t>
            </w:r>
          </w:p>
        </w:tc>
        <w:tc>
          <w:tcPr>
            <w:tcW w:w="716" w:type="dxa"/>
            <w:noWrap w:val="0"/>
            <w:vAlign w:val="center"/>
          </w:tcPr>
          <w:p>
            <w:pPr>
              <w:snapToGrid w:val="0"/>
              <w:spacing w:line="360" w:lineRule="auto"/>
              <w:jc w:val="center"/>
              <w:rPr>
                <w:rFonts w:hint="eastAsia" w:ascii="宋体" w:hAnsi="宋体" w:eastAsia="宋体" w:cs="宋体"/>
                <w:bCs/>
                <w:color w:val="auto"/>
                <w:sz w:val="24"/>
                <w:szCs w:val="24"/>
              </w:rPr>
            </w:pPr>
          </w:p>
        </w:tc>
      </w:tr>
    </w:tbl>
    <w:p>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eastAsia" w:ascii="宋体" w:hAnsi="宋体" w:eastAsia="宋体" w:cs="宋体"/>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59294C"/>
    <w:rsid w:val="16064146"/>
    <w:rsid w:val="23523174"/>
    <w:rsid w:val="2ABF43D4"/>
    <w:rsid w:val="6759294C"/>
    <w:rsid w:val="6FE2159C"/>
    <w:rsid w:val="747D08C6"/>
    <w:rsid w:val="7E937A3B"/>
    <w:rsid w:val="7EC004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7">
    <w:name w:val="Normal Table"/>
    <w:semiHidden/>
    <w:uiPriority w:val="0"/>
    <w:tblPr>
      <w:tblLayout w:type="fixed"/>
      <w:tblCellMar>
        <w:top w:w="0" w:type="dxa"/>
        <w:left w:w="108" w:type="dxa"/>
        <w:bottom w:w="0" w:type="dxa"/>
        <w:right w:w="108" w:type="dxa"/>
      </w:tblCellMar>
    </w:tblPr>
  </w:style>
  <w:style w:type="paragraph" w:styleId="2">
    <w:name w:val="Body Text First Indent 2"/>
    <w:basedOn w:val="3"/>
    <w:next w:val="1"/>
    <w:qFormat/>
    <w:uiPriority w:val="99"/>
    <w:pPr>
      <w:spacing w:after="120"/>
      <w:ind w:left="420" w:leftChars="200" w:firstLine="420" w:firstLineChars="200"/>
    </w:pPr>
  </w:style>
  <w:style w:type="paragraph" w:styleId="3">
    <w:name w:val="Body Text Indent"/>
    <w:basedOn w:val="1"/>
    <w:next w:val="4"/>
    <w:unhideWhenUsed/>
    <w:qFormat/>
    <w:uiPriority w:val="0"/>
    <w:pPr>
      <w:spacing w:after="120"/>
      <w:ind w:left="420" w:leftChars="200"/>
    </w:pPr>
    <w:rPr>
      <w:szCs w:val="20"/>
    </w:rPr>
  </w:style>
  <w:style w:type="paragraph" w:styleId="4">
    <w:name w:val="Body Text"/>
    <w:basedOn w:val="1"/>
    <w:next w:val="1"/>
    <w:qFormat/>
    <w:uiPriority w:val="0"/>
    <w:pPr>
      <w:spacing w:line="480" w:lineRule="auto"/>
    </w:pPr>
    <w:rPr>
      <w:color w:val="000000"/>
      <w:sz w:val="24"/>
    </w:rPr>
  </w:style>
  <w:style w:type="paragraph" w:styleId="5">
    <w:name w:val="toc 2"/>
    <w:basedOn w:val="1"/>
    <w:next w:val="1"/>
    <w:unhideWhenUsed/>
    <w:qFormat/>
    <w:uiPriority w:val="0"/>
    <w:pPr>
      <w:ind w:left="420" w:leftChars="200"/>
    </w:pPr>
    <w:rPr>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kk</Company>
  <Pages>1</Pages>
  <Words>0</Words>
  <Characters>0</Characters>
  <Lines>0</Lines>
  <Paragraphs>0</Paragraphs>
  <TotalTime>33</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2026-08-10T01:05:00Z</dcterms:created>
  <dc:creator>马志强</dc:creator>
  <cp:lastModifiedBy>Administrator</cp:lastModifiedBy>
  <cp:lastPrinted>2026-08-10T01:27:00Z</cp:lastPrinted>
  <dcterms:modified xsi:type="dcterms:W3CDTF">2026-08-10T03:31:22Z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698C0F3F400643298A7E927460725C9D_11</vt:lpwstr>
  </property>
  <property fmtid="{D5CDD505-2E9C-101B-9397-08002B2CF9AE}" pid="4" name="KSOTemplateDocerSaveRecord">
    <vt:lpwstr>eyJoZGlkIjoiZThhMGRiN2RjMjNhZmZlMGUxZDhjNmZkY2U5ODU5YzgiLCJ1c2VySWQiOiI0ODQ1ODg1MDgifQ==</vt:lpwstr>
  </property>
</Properties>
</file>