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E857B">
      <w:pPr>
        <w:spacing w:line="240" w:lineRule="auto"/>
        <w:jc w:val="both"/>
        <w:rPr>
          <w:rFonts w:hint="eastAsia" w:ascii="宋体" w:hAnsi="宋体" w:cs="宋体"/>
          <w:b/>
          <w:sz w:val="18"/>
          <w:szCs w:val="18"/>
        </w:rPr>
      </w:pPr>
      <w:bookmarkStart w:id="0" w:name="_Toc91323624"/>
      <w:bookmarkStart w:id="1" w:name="_Toc91323623"/>
    </w:p>
    <w:p w14:paraId="193E5A3C">
      <w:pPr>
        <w:spacing w:line="240" w:lineRule="auto"/>
        <w:jc w:val="center"/>
        <w:rPr>
          <w:rFonts w:hint="eastAsia" w:ascii="宋体" w:hAnsi="宋体" w:eastAsia="宋体" w:cs="宋体"/>
          <w:b/>
          <w:sz w:val="36"/>
          <w:szCs w:val="36"/>
          <w:lang w:eastAsia="zh-CN"/>
        </w:rPr>
      </w:pPr>
      <w:r>
        <w:rPr>
          <w:rFonts w:hint="eastAsia" w:ascii="宋体" w:hAnsi="宋体" w:cs="宋体"/>
          <w:b/>
          <w:sz w:val="36"/>
          <w:szCs w:val="36"/>
          <w:lang w:eastAsia="zh-CN"/>
        </w:rPr>
        <w:t>打分表</w:t>
      </w:r>
    </w:p>
    <w:p w14:paraId="5A924B08">
      <w:pPr>
        <w:spacing w:line="240" w:lineRule="auto"/>
        <w:jc w:val="both"/>
        <w:rPr>
          <w:rFonts w:hint="eastAsia" w:ascii="宋体" w:hAnsi="宋体" w:cs="宋体"/>
          <w:b/>
          <w:sz w:val="18"/>
          <w:szCs w:val="18"/>
        </w:rPr>
      </w:pPr>
    </w:p>
    <w:tbl>
      <w:tblPr>
        <w:tblStyle w:val="3"/>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7"/>
        <w:gridCol w:w="1018"/>
        <w:gridCol w:w="810"/>
        <w:gridCol w:w="6433"/>
      </w:tblGrid>
      <w:tr w14:paraId="124C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blHeader/>
          <w:jc w:val="center"/>
        </w:trPr>
        <w:tc>
          <w:tcPr>
            <w:tcW w:w="1137" w:type="dxa"/>
            <w:vAlign w:val="center"/>
          </w:tcPr>
          <w:p w14:paraId="079AC47B">
            <w:pPr>
              <w:spacing w:line="240" w:lineRule="auto"/>
              <w:jc w:val="center"/>
              <w:rPr>
                <w:rFonts w:hint="eastAsia" w:ascii="宋体" w:hAnsi="宋体" w:cs="宋体"/>
                <w:b/>
                <w:sz w:val="21"/>
                <w:szCs w:val="21"/>
              </w:rPr>
            </w:pPr>
            <w:r>
              <w:rPr>
                <w:rFonts w:hint="eastAsia" w:ascii="宋体" w:hAnsi="宋体" w:cs="宋体"/>
                <w:b/>
                <w:sz w:val="21"/>
                <w:szCs w:val="21"/>
              </w:rPr>
              <w:t>类别类别</w:t>
            </w:r>
          </w:p>
        </w:tc>
        <w:tc>
          <w:tcPr>
            <w:tcW w:w="1018" w:type="dxa"/>
            <w:vAlign w:val="center"/>
          </w:tcPr>
          <w:p w14:paraId="721212B2">
            <w:pPr>
              <w:spacing w:line="240" w:lineRule="auto"/>
              <w:jc w:val="center"/>
              <w:rPr>
                <w:rFonts w:hint="eastAsia" w:ascii="宋体" w:hAnsi="宋体" w:cs="宋体"/>
                <w:b/>
                <w:sz w:val="21"/>
                <w:szCs w:val="21"/>
              </w:rPr>
            </w:pPr>
            <w:r>
              <w:rPr>
                <w:rFonts w:hint="eastAsia" w:ascii="宋体" w:hAnsi="宋体" w:cs="宋体"/>
                <w:b/>
                <w:sz w:val="21"/>
                <w:szCs w:val="21"/>
              </w:rPr>
              <w:t>评分项目</w:t>
            </w:r>
          </w:p>
        </w:tc>
        <w:tc>
          <w:tcPr>
            <w:tcW w:w="810" w:type="dxa"/>
            <w:vAlign w:val="center"/>
          </w:tcPr>
          <w:p w14:paraId="634B80E6">
            <w:pPr>
              <w:spacing w:line="240" w:lineRule="auto"/>
              <w:jc w:val="center"/>
              <w:rPr>
                <w:rFonts w:hint="eastAsia" w:ascii="宋体" w:hAnsi="宋体" w:cs="宋体"/>
                <w:b/>
                <w:sz w:val="21"/>
                <w:szCs w:val="21"/>
              </w:rPr>
            </w:pPr>
            <w:r>
              <w:rPr>
                <w:rFonts w:hint="eastAsia" w:ascii="宋体" w:hAnsi="宋体" w:cs="宋体"/>
                <w:b/>
                <w:sz w:val="21"/>
                <w:szCs w:val="21"/>
              </w:rPr>
              <w:t>分值</w:t>
            </w:r>
          </w:p>
        </w:tc>
        <w:tc>
          <w:tcPr>
            <w:tcW w:w="6433" w:type="dxa"/>
            <w:vAlign w:val="center"/>
          </w:tcPr>
          <w:p w14:paraId="4F093B51">
            <w:pPr>
              <w:spacing w:line="240" w:lineRule="auto"/>
              <w:jc w:val="center"/>
              <w:rPr>
                <w:rFonts w:hint="eastAsia" w:ascii="宋体" w:hAnsi="宋体" w:cs="宋体"/>
                <w:b/>
                <w:sz w:val="21"/>
                <w:szCs w:val="21"/>
              </w:rPr>
            </w:pPr>
            <w:r>
              <w:rPr>
                <w:rFonts w:hint="eastAsia" w:ascii="宋体" w:hAnsi="宋体" w:cs="宋体"/>
                <w:b/>
                <w:sz w:val="21"/>
                <w:szCs w:val="21"/>
              </w:rPr>
              <w:t>评分标准</w:t>
            </w:r>
          </w:p>
        </w:tc>
      </w:tr>
      <w:tr w14:paraId="1A78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5" w:hRule="atLeast"/>
          <w:jc w:val="center"/>
        </w:trPr>
        <w:tc>
          <w:tcPr>
            <w:tcW w:w="1137" w:type="dxa"/>
            <w:vAlign w:val="center"/>
          </w:tcPr>
          <w:p w14:paraId="43061537">
            <w:pPr>
              <w:spacing w:line="240" w:lineRule="auto"/>
              <w:jc w:val="center"/>
              <w:rPr>
                <w:rFonts w:hint="eastAsia" w:ascii="宋体" w:hAnsi="宋体" w:cs="宋体"/>
                <w:sz w:val="21"/>
                <w:szCs w:val="21"/>
              </w:rPr>
            </w:pPr>
            <w:r>
              <w:rPr>
                <w:rFonts w:hint="eastAsia" w:ascii="宋体" w:hAnsi="宋体" w:cs="宋体"/>
                <w:sz w:val="21"/>
                <w:szCs w:val="21"/>
              </w:rPr>
              <w:t>价格部分</w:t>
            </w:r>
          </w:p>
          <w:p w14:paraId="0E40F132">
            <w:pPr>
              <w:spacing w:line="240" w:lineRule="auto"/>
              <w:jc w:val="center"/>
              <w:rPr>
                <w:rFonts w:hint="eastAsia" w:ascii="宋体" w:hAnsi="宋体" w:cs="宋体"/>
                <w:sz w:val="21"/>
                <w:szCs w:val="21"/>
              </w:rPr>
            </w:pPr>
            <w:r>
              <w:rPr>
                <w:rFonts w:hint="eastAsia" w:ascii="宋体" w:hAnsi="宋体" w:cs="宋体"/>
                <w:sz w:val="21"/>
                <w:szCs w:val="21"/>
                <w:lang w:val="en-US" w:eastAsia="zh-CN"/>
              </w:rPr>
              <w:t>10</w:t>
            </w:r>
            <w:r>
              <w:rPr>
                <w:rFonts w:hint="eastAsia" w:ascii="宋体" w:hAnsi="宋体" w:cs="宋体"/>
                <w:sz w:val="21"/>
                <w:szCs w:val="21"/>
              </w:rPr>
              <w:t>分</w:t>
            </w:r>
          </w:p>
        </w:tc>
        <w:tc>
          <w:tcPr>
            <w:tcW w:w="1018" w:type="dxa"/>
            <w:vAlign w:val="center"/>
          </w:tcPr>
          <w:p w14:paraId="6A5183C0">
            <w:pPr>
              <w:spacing w:line="240" w:lineRule="auto"/>
              <w:jc w:val="center"/>
              <w:rPr>
                <w:rFonts w:hint="eastAsia" w:ascii="宋体" w:hAnsi="宋体" w:cs="宋体"/>
                <w:sz w:val="21"/>
                <w:szCs w:val="21"/>
              </w:rPr>
            </w:pPr>
            <w:r>
              <w:rPr>
                <w:rFonts w:hint="eastAsia" w:ascii="宋体" w:hAnsi="宋体" w:cs="宋体"/>
                <w:sz w:val="21"/>
                <w:szCs w:val="21"/>
              </w:rPr>
              <w:t>报价得分</w:t>
            </w:r>
          </w:p>
        </w:tc>
        <w:tc>
          <w:tcPr>
            <w:tcW w:w="810" w:type="dxa"/>
            <w:vAlign w:val="center"/>
          </w:tcPr>
          <w:p w14:paraId="1215647E">
            <w:pPr>
              <w:spacing w:line="240" w:lineRule="auto"/>
              <w:jc w:val="center"/>
              <w:rPr>
                <w:rFonts w:hint="eastAsia" w:ascii="宋体" w:hAnsi="宋体" w:cs="宋体"/>
                <w:sz w:val="21"/>
                <w:szCs w:val="21"/>
              </w:rPr>
            </w:pPr>
            <w:r>
              <w:rPr>
                <w:rFonts w:hint="eastAsia" w:ascii="宋体" w:hAnsi="宋体" w:cs="宋体"/>
                <w:sz w:val="21"/>
                <w:szCs w:val="21"/>
                <w:lang w:val="en-US" w:eastAsia="zh-CN"/>
              </w:rPr>
              <w:t>10</w:t>
            </w:r>
            <w:r>
              <w:rPr>
                <w:rFonts w:hint="eastAsia" w:ascii="宋体" w:hAnsi="宋体" w:cs="宋体"/>
                <w:sz w:val="21"/>
                <w:szCs w:val="21"/>
              </w:rPr>
              <w:t>分</w:t>
            </w:r>
          </w:p>
        </w:tc>
        <w:tc>
          <w:tcPr>
            <w:tcW w:w="6433" w:type="dxa"/>
            <w:vAlign w:val="center"/>
          </w:tcPr>
          <w:p w14:paraId="5576994C">
            <w:pPr>
              <w:spacing w:line="240" w:lineRule="auto"/>
              <w:ind w:right="21" w:rightChars="10"/>
              <w:rPr>
                <w:rFonts w:hint="eastAsia" w:ascii="宋体" w:hAnsi="宋体" w:cs="宋体"/>
                <w:sz w:val="21"/>
                <w:szCs w:val="21"/>
              </w:rPr>
            </w:pPr>
            <w:r>
              <w:rPr>
                <w:rFonts w:hint="eastAsia" w:ascii="宋体" w:hAnsi="宋体" w:cs="宋体"/>
                <w:sz w:val="21"/>
                <w:szCs w:val="21"/>
              </w:rPr>
              <w:t>报价评分时，满足磋商文件要求且最后报价最低的有效投标报价为投标基准价，其报价得分计</w:t>
            </w:r>
            <w:r>
              <w:rPr>
                <w:rFonts w:hint="eastAsia" w:ascii="宋体" w:hAnsi="宋体" w:cs="宋体"/>
                <w:sz w:val="21"/>
                <w:szCs w:val="21"/>
                <w:lang w:val="en-US" w:eastAsia="zh-CN"/>
              </w:rPr>
              <w:t>1</w:t>
            </w:r>
            <w:r>
              <w:rPr>
                <w:rFonts w:hint="eastAsia" w:ascii="宋体" w:hAnsi="宋体" w:cs="宋体"/>
                <w:sz w:val="21"/>
                <w:szCs w:val="21"/>
              </w:rPr>
              <w:t>0分。其他投标人的报价得分统一按公式计算：</w:t>
            </w:r>
          </w:p>
          <w:p w14:paraId="23ECA077">
            <w:pPr>
              <w:spacing w:line="240" w:lineRule="auto"/>
              <w:ind w:left="21" w:leftChars="10" w:right="21" w:rightChars="10"/>
              <w:rPr>
                <w:rFonts w:hint="eastAsia" w:ascii="宋体" w:hAnsi="宋体" w:cs="宋体"/>
                <w:sz w:val="21"/>
                <w:szCs w:val="21"/>
              </w:rPr>
            </w:pPr>
            <w:r>
              <w:rPr>
                <w:rFonts w:hint="eastAsia" w:ascii="宋体" w:hAnsi="宋体" w:cs="宋体"/>
                <w:sz w:val="21"/>
                <w:szCs w:val="21"/>
              </w:rPr>
              <w:t>报价得分=投标报价得分=（评标基准价/投标报价）*价格权值*100（本次招标价格权值为</w:t>
            </w:r>
            <w:r>
              <w:rPr>
                <w:rFonts w:hint="eastAsia" w:ascii="宋体" w:hAnsi="宋体" w:cs="宋体"/>
                <w:sz w:val="21"/>
                <w:szCs w:val="21"/>
                <w:lang w:val="en-US" w:eastAsia="zh-CN"/>
              </w:rPr>
              <w:t>1</w:t>
            </w:r>
            <w:r>
              <w:rPr>
                <w:rFonts w:hint="eastAsia" w:ascii="宋体" w:hAnsi="宋体" w:cs="宋体"/>
                <w:sz w:val="21"/>
                <w:szCs w:val="21"/>
              </w:rPr>
              <w:t>0%）。（四舍五入后保留小数点后两位）</w:t>
            </w:r>
          </w:p>
          <w:p w14:paraId="655C4504">
            <w:pPr>
              <w:spacing w:line="240" w:lineRule="auto"/>
              <w:ind w:left="21" w:leftChars="10" w:right="21" w:rightChars="10"/>
              <w:rPr>
                <w:rFonts w:hint="eastAsia" w:ascii="宋体" w:hAnsi="宋体" w:cs="宋体"/>
                <w:sz w:val="21"/>
                <w:szCs w:val="21"/>
              </w:rPr>
            </w:pPr>
            <w:r>
              <w:rPr>
                <w:rFonts w:hint="eastAsia" w:ascii="宋体" w:hAnsi="宋体" w:cs="宋体"/>
                <w:sz w:val="21"/>
                <w:szCs w:val="21"/>
                <w:lang w:val="en-US" w:eastAsia="zh-CN"/>
              </w:rPr>
              <w:t>备注：</w:t>
            </w:r>
            <w:r>
              <w:rPr>
                <w:rFonts w:hint="eastAsia" w:ascii="宋体" w:hAnsi="宋体" w:cs="宋体"/>
                <w:sz w:val="21"/>
                <w:szCs w:val="21"/>
              </w:rPr>
              <w:t>投标人不得低于成本或市场价恶意竞标，磋商小组会认为投标人的报价明显低于其他通过符合性审查投标人的报价，有可能影响服务质量或者不能诚信履约的，应当要求其在评标现场合理的时间内提供书面说明，必要时提交相关证</w:t>
            </w:r>
            <w:bookmarkStart w:id="2" w:name="_GoBack"/>
            <w:bookmarkEnd w:id="2"/>
            <w:r>
              <w:rPr>
                <w:rFonts w:hint="eastAsia" w:ascii="宋体" w:hAnsi="宋体" w:cs="宋体"/>
                <w:sz w:val="21"/>
                <w:szCs w:val="21"/>
              </w:rPr>
              <w:t>明材料；投标人不能证明其报价合理性的，磋商小组应当将其作为无效投标处理。</w:t>
            </w:r>
          </w:p>
        </w:tc>
      </w:tr>
      <w:tr w14:paraId="2C81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2" w:hRule="atLeast"/>
          <w:jc w:val="center"/>
        </w:trPr>
        <w:tc>
          <w:tcPr>
            <w:tcW w:w="1137" w:type="dxa"/>
            <w:vMerge w:val="restart"/>
            <w:vAlign w:val="center"/>
          </w:tcPr>
          <w:p w14:paraId="05844ED0">
            <w:pPr>
              <w:spacing w:line="240" w:lineRule="auto"/>
              <w:jc w:val="center"/>
              <w:rPr>
                <w:rFonts w:hint="eastAsia" w:ascii="宋体" w:hAnsi="宋体" w:cs="宋体"/>
                <w:sz w:val="21"/>
                <w:szCs w:val="21"/>
              </w:rPr>
            </w:pPr>
            <w:r>
              <w:rPr>
                <w:rFonts w:hint="eastAsia" w:ascii="宋体" w:hAnsi="宋体" w:cs="宋体"/>
                <w:sz w:val="21"/>
                <w:szCs w:val="21"/>
              </w:rPr>
              <w:t>商务部分</w:t>
            </w:r>
          </w:p>
          <w:p w14:paraId="7D175DBE">
            <w:pPr>
              <w:pStyle w:val="2"/>
              <w:spacing w:line="240" w:lineRule="auto"/>
              <w:jc w:val="center"/>
              <w:rPr>
                <w:rFonts w:hint="eastAsia" w:cs="宋体"/>
                <w:sz w:val="21"/>
                <w:szCs w:val="21"/>
              </w:rPr>
            </w:pPr>
            <w:r>
              <w:rPr>
                <w:rFonts w:hint="eastAsia" w:cs="宋体"/>
                <w:sz w:val="21"/>
                <w:szCs w:val="21"/>
                <w:lang w:val="en-US" w:eastAsia="zh-CN"/>
              </w:rPr>
              <w:t>25</w:t>
            </w:r>
            <w:r>
              <w:rPr>
                <w:rFonts w:hint="eastAsia" w:cs="宋体"/>
                <w:sz w:val="21"/>
                <w:szCs w:val="21"/>
              </w:rPr>
              <w:t>分</w:t>
            </w:r>
          </w:p>
        </w:tc>
        <w:tc>
          <w:tcPr>
            <w:tcW w:w="1018" w:type="dxa"/>
            <w:vAlign w:val="center"/>
          </w:tcPr>
          <w:p w14:paraId="59B7E00B">
            <w:pPr>
              <w:spacing w:line="240" w:lineRule="auto"/>
              <w:jc w:val="center"/>
              <w:rPr>
                <w:rFonts w:hint="eastAsia" w:ascii="宋体" w:hAnsi="宋体" w:cs="宋体"/>
                <w:sz w:val="21"/>
                <w:szCs w:val="21"/>
              </w:rPr>
            </w:pPr>
            <w:r>
              <w:rPr>
                <w:rFonts w:hint="eastAsia" w:ascii="宋体" w:hAnsi="宋体" w:cs="宋体"/>
                <w:sz w:val="21"/>
                <w:szCs w:val="21"/>
              </w:rPr>
              <w:t>业绩</w:t>
            </w:r>
          </w:p>
        </w:tc>
        <w:tc>
          <w:tcPr>
            <w:tcW w:w="810" w:type="dxa"/>
            <w:vAlign w:val="center"/>
          </w:tcPr>
          <w:p w14:paraId="2EF4E4E8">
            <w:pPr>
              <w:spacing w:line="240" w:lineRule="auto"/>
              <w:jc w:val="center"/>
              <w:rPr>
                <w:rFonts w:hint="eastAsia" w:ascii="宋体" w:hAnsi="宋体" w:cs="宋体"/>
                <w:sz w:val="21"/>
                <w:szCs w:val="21"/>
              </w:rPr>
            </w:pPr>
            <w:r>
              <w:rPr>
                <w:rFonts w:hint="eastAsia" w:ascii="宋体" w:hAnsi="宋体" w:cs="宋体"/>
                <w:sz w:val="21"/>
                <w:szCs w:val="21"/>
                <w:lang w:val="en-US" w:eastAsia="zh-CN"/>
              </w:rPr>
              <w:t>14</w:t>
            </w:r>
            <w:r>
              <w:rPr>
                <w:rFonts w:hint="eastAsia" w:ascii="宋体" w:hAnsi="宋体" w:cs="宋体"/>
                <w:sz w:val="21"/>
                <w:szCs w:val="21"/>
              </w:rPr>
              <w:t>分</w:t>
            </w:r>
          </w:p>
        </w:tc>
        <w:tc>
          <w:tcPr>
            <w:tcW w:w="6433" w:type="dxa"/>
            <w:vAlign w:val="center"/>
          </w:tcPr>
          <w:p w14:paraId="060B75B2">
            <w:pPr>
              <w:spacing w:line="240" w:lineRule="auto"/>
              <w:ind w:right="21" w:rightChars="10"/>
              <w:rPr>
                <w:rFonts w:hint="eastAsia" w:ascii="宋体" w:hAnsi="宋体" w:cs="宋体"/>
                <w:sz w:val="21"/>
                <w:szCs w:val="21"/>
              </w:rPr>
            </w:pPr>
            <w:r>
              <w:rPr>
                <w:rFonts w:hint="eastAsia" w:ascii="宋体" w:hAnsi="宋体" w:cs="宋体"/>
                <w:sz w:val="21"/>
                <w:szCs w:val="21"/>
              </w:rPr>
              <w:t>投标人提供 202</w:t>
            </w:r>
            <w:r>
              <w:rPr>
                <w:rFonts w:hint="eastAsia" w:ascii="宋体" w:hAnsi="宋体" w:cs="宋体"/>
                <w:sz w:val="21"/>
                <w:szCs w:val="21"/>
                <w:lang w:val="en-US" w:eastAsia="zh-CN"/>
              </w:rPr>
              <w:t>4</w:t>
            </w:r>
            <w:r>
              <w:rPr>
                <w:rFonts w:hint="eastAsia" w:ascii="宋体" w:hAnsi="宋体" w:cs="宋体"/>
                <w:sz w:val="21"/>
                <w:szCs w:val="21"/>
              </w:rPr>
              <w:t xml:space="preserve"> 年 </w:t>
            </w:r>
            <w:r>
              <w:rPr>
                <w:rFonts w:hint="eastAsia" w:ascii="宋体" w:hAnsi="宋体" w:cs="宋体"/>
                <w:sz w:val="21"/>
                <w:szCs w:val="21"/>
                <w:lang w:val="en-US" w:eastAsia="zh-CN"/>
              </w:rPr>
              <w:t>8</w:t>
            </w:r>
            <w:r>
              <w:rPr>
                <w:rFonts w:hint="eastAsia" w:ascii="宋体" w:hAnsi="宋体" w:cs="宋体"/>
                <w:sz w:val="21"/>
                <w:szCs w:val="21"/>
              </w:rPr>
              <w:t xml:space="preserve"> 月 1 日以来（以合同签订日期为准）同类项目业绩，每一份有效业绩得 </w:t>
            </w:r>
            <w:r>
              <w:rPr>
                <w:rFonts w:hint="eastAsia" w:ascii="宋体" w:hAnsi="宋体" w:cs="宋体"/>
                <w:sz w:val="21"/>
                <w:szCs w:val="21"/>
                <w:lang w:val="en-US" w:eastAsia="zh-CN"/>
              </w:rPr>
              <w:t>2</w:t>
            </w:r>
            <w:r>
              <w:rPr>
                <w:rFonts w:hint="eastAsia" w:ascii="宋体" w:hAnsi="宋体" w:cs="宋体"/>
                <w:sz w:val="21"/>
                <w:szCs w:val="21"/>
              </w:rPr>
              <w:t xml:space="preserve"> 分，满分 </w:t>
            </w:r>
            <w:r>
              <w:rPr>
                <w:rFonts w:hint="eastAsia" w:ascii="宋体" w:hAnsi="宋体" w:cs="宋体"/>
                <w:sz w:val="21"/>
                <w:szCs w:val="21"/>
                <w:lang w:val="en-US" w:eastAsia="zh-CN"/>
              </w:rPr>
              <w:t>14</w:t>
            </w:r>
            <w:r>
              <w:rPr>
                <w:rFonts w:hint="eastAsia" w:ascii="宋体" w:hAnsi="宋体" w:cs="宋体"/>
                <w:sz w:val="21"/>
                <w:szCs w:val="21"/>
              </w:rPr>
              <w:t xml:space="preserve"> 分。</w:t>
            </w:r>
          </w:p>
          <w:p w14:paraId="06F478D6">
            <w:pPr>
              <w:spacing w:line="240" w:lineRule="auto"/>
              <w:ind w:left="21" w:leftChars="10" w:right="21" w:rightChars="10"/>
              <w:rPr>
                <w:rFonts w:hint="eastAsia" w:ascii="宋体" w:hAnsi="宋体" w:cs="宋体"/>
                <w:sz w:val="21"/>
                <w:szCs w:val="21"/>
              </w:rPr>
            </w:pPr>
            <w:r>
              <w:rPr>
                <w:rFonts w:hint="eastAsia" w:ascii="宋体" w:hAnsi="宋体" w:cs="宋体"/>
                <w:sz w:val="21"/>
                <w:szCs w:val="21"/>
              </w:rPr>
              <w:t>注：提供合同复印件加盖公章,且不得遮盖任何关键信息。</w:t>
            </w:r>
          </w:p>
        </w:tc>
      </w:tr>
      <w:tr w14:paraId="2A7A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jc w:val="center"/>
        </w:trPr>
        <w:tc>
          <w:tcPr>
            <w:tcW w:w="1137" w:type="dxa"/>
            <w:vMerge w:val="continue"/>
            <w:vAlign w:val="center"/>
          </w:tcPr>
          <w:p w14:paraId="50B188BE">
            <w:pPr>
              <w:pStyle w:val="2"/>
              <w:spacing w:line="240" w:lineRule="auto"/>
              <w:jc w:val="center"/>
              <w:rPr>
                <w:rFonts w:hint="eastAsia" w:cs="宋体"/>
                <w:sz w:val="21"/>
                <w:szCs w:val="21"/>
                <w:lang w:eastAsia="zh-CN"/>
              </w:rPr>
            </w:pPr>
          </w:p>
        </w:tc>
        <w:tc>
          <w:tcPr>
            <w:tcW w:w="1018" w:type="dxa"/>
            <w:vAlign w:val="center"/>
          </w:tcPr>
          <w:p w14:paraId="6375E614">
            <w:pPr>
              <w:spacing w:line="240" w:lineRule="auto"/>
              <w:jc w:val="center"/>
              <w:rPr>
                <w:rFonts w:hint="eastAsia" w:ascii="宋体" w:hAnsi="宋体" w:cs="宋体"/>
                <w:sz w:val="21"/>
                <w:szCs w:val="21"/>
              </w:rPr>
            </w:pPr>
            <w:r>
              <w:rPr>
                <w:rFonts w:hint="eastAsia" w:ascii="宋体" w:hAnsi="宋体" w:cs="宋体"/>
                <w:sz w:val="21"/>
                <w:szCs w:val="21"/>
              </w:rPr>
              <w:t>企业实力</w:t>
            </w:r>
          </w:p>
        </w:tc>
        <w:tc>
          <w:tcPr>
            <w:tcW w:w="810" w:type="dxa"/>
            <w:vAlign w:val="center"/>
          </w:tcPr>
          <w:p w14:paraId="3BB76091">
            <w:pPr>
              <w:spacing w:line="240" w:lineRule="auto"/>
              <w:jc w:val="center"/>
              <w:rPr>
                <w:rFonts w:hint="eastAsia" w:ascii="宋体" w:hAnsi="宋体" w:cs="宋体"/>
                <w:sz w:val="21"/>
                <w:szCs w:val="21"/>
              </w:rPr>
            </w:pPr>
            <w:r>
              <w:rPr>
                <w:rFonts w:hint="eastAsia" w:ascii="宋体" w:hAnsi="宋体" w:cs="宋体"/>
                <w:sz w:val="21"/>
                <w:szCs w:val="21"/>
              </w:rPr>
              <w:t>6分</w:t>
            </w:r>
          </w:p>
        </w:tc>
        <w:tc>
          <w:tcPr>
            <w:tcW w:w="6433" w:type="dxa"/>
            <w:vAlign w:val="center"/>
          </w:tcPr>
          <w:p w14:paraId="3D229F9D">
            <w:pPr>
              <w:spacing w:line="240" w:lineRule="auto"/>
              <w:ind w:left="21" w:leftChars="10" w:right="21" w:rightChars="10"/>
              <w:rPr>
                <w:rFonts w:hint="eastAsia" w:ascii="宋体" w:hAnsi="宋体" w:cs="宋体"/>
                <w:sz w:val="21"/>
                <w:szCs w:val="21"/>
              </w:rPr>
            </w:pPr>
            <w:r>
              <w:rPr>
                <w:rFonts w:hint="eastAsia" w:ascii="宋体" w:hAnsi="宋体" w:cs="宋体"/>
                <w:sz w:val="21"/>
                <w:szCs w:val="21"/>
              </w:rPr>
              <w:t>供应商具有质量管理体系认证证书、环境管理体系认证证书、</w:t>
            </w:r>
          </w:p>
          <w:p w14:paraId="7EE681D0">
            <w:pPr>
              <w:spacing w:line="240" w:lineRule="auto"/>
              <w:ind w:left="21" w:leftChars="10" w:right="21" w:rightChars="10"/>
              <w:rPr>
                <w:rFonts w:hint="eastAsia" w:ascii="宋体" w:hAnsi="宋体" w:cs="宋体"/>
                <w:sz w:val="21"/>
                <w:szCs w:val="21"/>
                <w:lang w:eastAsia="zh-CN"/>
              </w:rPr>
            </w:pPr>
            <w:r>
              <w:rPr>
                <w:rFonts w:hint="eastAsia" w:ascii="宋体" w:hAnsi="宋体" w:cs="宋体"/>
                <w:sz w:val="21"/>
                <w:szCs w:val="21"/>
              </w:rPr>
              <w:t>职业健康安全管理体系认证证书，每提供一项得2分，满分6分。</w:t>
            </w:r>
          </w:p>
          <w:p w14:paraId="1B5EE7FC">
            <w:pPr>
              <w:spacing w:line="240" w:lineRule="auto"/>
              <w:ind w:left="21" w:leftChars="10" w:right="21" w:rightChars="10"/>
              <w:rPr>
                <w:rFonts w:hint="eastAsia" w:ascii="宋体" w:hAnsi="宋体" w:cs="宋体"/>
                <w:sz w:val="21"/>
                <w:szCs w:val="21"/>
              </w:rPr>
            </w:pPr>
            <w:r>
              <w:rPr>
                <w:rFonts w:hint="eastAsia" w:ascii="宋体" w:hAnsi="宋体" w:cs="宋体"/>
                <w:sz w:val="21"/>
                <w:szCs w:val="21"/>
              </w:rPr>
              <w:t>备注：管理体系认证证书需包含放射卫生检测及评价，如不包含则无效不得分。</w:t>
            </w:r>
          </w:p>
        </w:tc>
      </w:tr>
      <w:tr w14:paraId="70A2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0" w:hRule="atLeast"/>
          <w:jc w:val="center"/>
        </w:trPr>
        <w:tc>
          <w:tcPr>
            <w:tcW w:w="1137" w:type="dxa"/>
            <w:vMerge w:val="continue"/>
            <w:vAlign w:val="center"/>
          </w:tcPr>
          <w:p w14:paraId="40058F90">
            <w:pPr>
              <w:pStyle w:val="2"/>
              <w:spacing w:line="240" w:lineRule="auto"/>
              <w:jc w:val="center"/>
              <w:rPr>
                <w:rFonts w:hint="eastAsia" w:cs="宋体"/>
                <w:sz w:val="21"/>
                <w:szCs w:val="21"/>
                <w:lang w:eastAsia="zh-CN"/>
              </w:rPr>
            </w:pPr>
          </w:p>
        </w:tc>
        <w:tc>
          <w:tcPr>
            <w:tcW w:w="1018" w:type="dxa"/>
            <w:vAlign w:val="center"/>
          </w:tcPr>
          <w:p w14:paraId="42EF3EB9">
            <w:pPr>
              <w:spacing w:line="240" w:lineRule="auto"/>
              <w:jc w:val="center"/>
              <w:rPr>
                <w:rFonts w:hint="eastAsia" w:ascii="宋体" w:hAnsi="宋体" w:cs="宋体"/>
                <w:sz w:val="21"/>
                <w:szCs w:val="21"/>
              </w:rPr>
            </w:pPr>
            <w:r>
              <w:rPr>
                <w:rFonts w:hint="eastAsia" w:ascii="宋体" w:hAnsi="宋体" w:cs="宋体"/>
                <w:sz w:val="21"/>
                <w:szCs w:val="21"/>
              </w:rPr>
              <w:t>人员配置</w:t>
            </w:r>
          </w:p>
        </w:tc>
        <w:tc>
          <w:tcPr>
            <w:tcW w:w="810" w:type="dxa"/>
            <w:vAlign w:val="center"/>
          </w:tcPr>
          <w:p w14:paraId="50E22208">
            <w:pPr>
              <w:spacing w:line="240" w:lineRule="auto"/>
              <w:jc w:val="center"/>
              <w:rPr>
                <w:rFonts w:hint="eastAsia" w:ascii="宋体" w:hAnsi="宋体" w:cs="宋体"/>
                <w:sz w:val="21"/>
                <w:szCs w:val="21"/>
              </w:rPr>
            </w:pPr>
            <w:r>
              <w:rPr>
                <w:rFonts w:hint="eastAsia" w:ascii="宋体" w:hAnsi="宋体" w:cs="宋体"/>
                <w:sz w:val="21"/>
                <w:szCs w:val="21"/>
              </w:rPr>
              <w:t>5分</w:t>
            </w:r>
          </w:p>
        </w:tc>
        <w:tc>
          <w:tcPr>
            <w:tcW w:w="6433" w:type="dxa"/>
            <w:vAlign w:val="center"/>
          </w:tcPr>
          <w:p w14:paraId="0E5DA578">
            <w:pPr>
              <w:spacing w:line="240" w:lineRule="auto"/>
              <w:ind w:left="21" w:leftChars="10" w:right="21" w:rightChars="10"/>
              <w:rPr>
                <w:rFonts w:hint="eastAsia" w:ascii="宋体" w:hAnsi="宋体" w:cs="宋体"/>
                <w:sz w:val="21"/>
                <w:szCs w:val="21"/>
              </w:rPr>
            </w:pPr>
            <w:r>
              <w:rPr>
                <w:rFonts w:hint="eastAsia" w:ascii="宋体" w:hAnsi="宋体" w:cs="宋体"/>
                <w:sz w:val="21"/>
                <w:szCs w:val="21"/>
              </w:rPr>
              <w:t>供应商针对本项目拟配置的专业技术人员：</w:t>
            </w:r>
          </w:p>
          <w:p w14:paraId="102C0A9E">
            <w:pPr>
              <w:spacing w:line="240" w:lineRule="auto"/>
              <w:ind w:left="21" w:leftChars="10" w:right="21" w:rightChars="10"/>
              <w:rPr>
                <w:rFonts w:hint="eastAsia" w:ascii="宋体" w:hAnsi="宋体" w:cs="宋体"/>
                <w:sz w:val="21"/>
                <w:szCs w:val="21"/>
              </w:rPr>
            </w:pPr>
            <w:r>
              <w:rPr>
                <w:rFonts w:hint="eastAsia" w:ascii="宋体" w:hAnsi="宋体" w:cs="宋体"/>
                <w:sz w:val="21"/>
                <w:szCs w:val="21"/>
              </w:rPr>
              <w:t>拟投入人员具有高级职称每提供 1 人得 3 分，中级职称每提供1 人得 0.5 分，满分 5 分。</w:t>
            </w:r>
          </w:p>
          <w:p w14:paraId="610C61E8">
            <w:pPr>
              <w:spacing w:line="240" w:lineRule="auto"/>
              <w:ind w:left="21" w:leftChars="10" w:right="21" w:rightChars="10"/>
              <w:rPr>
                <w:rFonts w:hint="eastAsia" w:ascii="宋体" w:hAnsi="宋体" w:cs="宋体"/>
                <w:sz w:val="21"/>
                <w:szCs w:val="21"/>
              </w:rPr>
            </w:pPr>
            <w:r>
              <w:rPr>
                <w:rFonts w:hint="eastAsia" w:ascii="宋体" w:hAnsi="宋体" w:cs="宋体"/>
                <w:sz w:val="21"/>
                <w:szCs w:val="21"/>
                <w:lang w:val="en-US" w:eastAsia="zh-CN"/>
              </w:rPr>
              <w:t>备注</w:t>
            </w:r>
            <w:r>
              <w:rPr>
                <w:rFonts w:hint="eastAsia" w:ascii="宋体" w:hAnsi="宋体" w:cs="宋体"/>
                <w:sz w:val="21"/>
                <w:szCs w:val="21"/>
              </w:rPr>
              <w:t>：所投入的人员须提供本单位为其缴纳至少一个月的社保证明材料。</w:t>
            </w:r>
          </w:p>
        </w:tc>
      </w:tr>
      <w:tr w14:paraId="3AED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1" w:hRule="atLeast"/>
          <w:jc w:val="center"/>
        </w:trPr>
        <w:tc>
          <w:tcPr>
            <w:tcW w:w="1137" w:type="dxa"/>
            <w:vMerge w:val="restart"/>
            <w:vAlign w:val="center"/>
          </w:tcPr>
          <w:p w14:paraId="6424ACD9">
            <w:pPr>
              <w:spacing w:line="240" w:lineRule="auto"/>
              <w:jc w:val="center"/>
              <w:rPr>
                <w:rFonts w:hint="eastAsia" w:ascii="宋体" w:hAnsi="宋体" w:cs="宋体"/>
                <w:sz w:val="21"/>
                <w:szCs w:val="21"/>
              </w:rPr>
            </w:pPr>
            <w:r>
              <w:rPr>
                <w:rFonts w:hint="eastAsia" w:ascii="宋体" w:hAnsi="宋体" w:cs="宋体"/>
                <w:sz w:val="21"/>
                <w:szCs w:val="21"/>
              </w:rPr>
              <w:t>技术部分</w:t>
            </w:r>
          </w:p>
          <w:p w14:paraId="7F274217">
            <w:pPr>
              <w:spacing w:line="240" w:lineRule="auto"/>
              <w:jc w:val="center"/>
              <w:rPr>
                <w:rFonts w:hint="eastAsia"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5分</w:t>
            </w:r>
          </w:p>
        </w:tc>
        <w:tc>
          <w:tcPr>
            <w:tcW w:w="1018" w:type="dxa"/>
            <w:vAlign w:val="center"/>
          </w:tcPr>
          <w:p w14:paraId="40A94CF3">
            <w:pPr>
              <w:pStyle w:val="5"/>
              <w:widowControl w:val="0"/>
              <w:snapToGrid/>
              <w:spacing w:line="240" w:lineRule="auto"/>
              <w:ind w:firstLine="0" w:firstLineChars="0"/>
              <w:jc w:val="center"/>
              <w:rPr>
                <w:rFonts w:hint="eastAsia" w:ascii="宋体" w:hAnsi="宋体" w:eastAsia="宋体" w:cs="宋体"/>
                <w:bCs/>
                <w:sz w:val="21"/>
                <w:szCs w:val="21"/>
                <w:lang w:val="zh-CN" w:bidi="en-US"/>
              </w:rPr>
            </w:pPr>
            <w:r>
              <w:rPr>
                <w:rFonts w:hint="eastAsia" w:ascii="宋体" w:hAnsi="宋体" w:eastAsia="宋体" w:cs="宋体"/>
                <w:bCs/>
                <w:sz w:val="21"/>
                <w:szCs w:val="21"/>
                <w:lang w:bidi="en-US"/>
              </w:rPr>
              <w:t>服务方案及质量保证措施</w:t>
            </w:r>
          </w:p>
        </w:tc>
        <w:tc>
          <w:tcPr>
            <w:tcW w:w="810" w:type="dxa"/>
            <w:vAlign w:val="center"/>
          </w:tcPr>
          <w:p w14:paraId="27140232">
            <w:pPr>
              <w:spacing w:line="240" w:lineRule="auto"/>
              <w:jc w:val="center"/>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5</w:t>
            </w:r>
            <w:r>
              <w:rPr>
                <w:rFonts w:hint="eastAsia" w:ascii="宋体" w:hAnsi="宋体" w:cs="宋体"/>
                <w:sz w:val="21"/>
                <w:szCs w:val="21"/>
              </w:rPr>
              <w:t>分</w:t>
            </w:r>
          </w:p>
        </w:tc>
        <w:tc>
          <w:tcPr>
            <w:tcW w:w="6433" w:type="dxa"/>
          </w:tcPr>
          <w:p w14:paraId="25090DF4">
            <w:pPr>
              <w:pStyle w:val="5"/>
              <w:widowControl w:val="0"/>
              <w:adjustRightInd/>
              <w:snapToGrid/>
              <w:spacing w:after="0" w:line="240" w:lineRule="auto"/>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供应商应针对本项目提供服务方案及质量保证措施（包括但不限于：服务标准、服务管理、服务措施、服务评价、检测计划安排、质量管控等方面）</w:t>
            </w:r>
          </w:p>
          <w:p w14:paraId="04CAB265">
            <w:pPr>
              <w:pStyle w:val="5"/>
              <w:widowControl w:val="0"/>
              <w:adjustRightInd/>
              <w:snapToGrid/>
              <w:spacing w:after="0" w:line="240" w:lineRule="auto"/>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①服务方案流程清晰具体合理，对本次检测服务流程完全熟悉，质量保证措施完善、全面，完全符合本次采购需求得</w:t>
            </w:r>
            <w:r>
              <w:rPr>
                <w:rFonts w:hint="eastAsia" w:ascii="宋体" w:hAnsi="宋体" w:eastAsia="宋体" w:cs="宋体"/>
                <w:kern w:val="2"/>
                <w:sz w:val="21"/>
                <w:szCs w:val="21"/>
                <w:lang w:val="en-US" w:eastAsia="zh-CN"/>
              </w:rPr>
              <w:t>15</w:t>
            </w:r>
            <w:r>
              <w:rPr>
                <w:rFonts w:hint="eastAsia" w:ascii="宋体" w:hAnsi="宋体" w:eastAsia="宋体" w:cs="宋体"/>
                <w:kern w:val="2"/>
                <w:sz w:val="21"/>
                <w:szCs w:val="21"/>
              </w:rPr>
              <w:t>分；</w:t>
            </w:r>
          </w:p>
          <w:p w14:paraId="0241C766">
            <w:pPr>
              <w:pStyle w:val="5"/>
              <w:widowControl w:val="0"/>
              <w:adjustRightInd/>
              <w:snapToGrid/>
              <w:spacing w:after="0" w:line="240" w:lineRule="auto"/>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②服务方案流程比较清晰具体合理，对本次检测服务流程比较熟悉，质量保证措施比较完善，符合本次采购需求得1</w:t>
            </w: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rPr>
              <w:t>分；</w:t>
            </w:r>
          </w:p>
          <w:p w14:paraId="43BA3385">
            <w:pPr>
              <w:pStyle w:val="5"/>
              <w:widowControl w:val="0"/>
              <w:adjustRightInd/>
              <w:snapToGrid/>
              <w:spacing w:after="0" w:line="240" w:lineRule="auto"/>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③服务方案流程合理性存在一定的缺陷，对本次检测服务流程熟悉程度存在偏差，质量保证措施一般，基本符合本次采购需求得</w:t>
            </w:r>
            <w:r>
              <w:rPr>
                <w:rFonts w:hint="eastAsia" w:ascii="宋体" w:hAnsi="宋体" w:eastAsia="宋体" w:cs="宋体"/>
                <w:kern w:val="2"/>
                <w:sz w:val="21"/>
                <w:szCs w:val="21"/>
                <w:lang w:val="en-US" w:eastAsia="zh-CN"/>
              </w:rPr>
              <w:t>8</w:t>
            </w:r>
            <w:r>
              <w:rPr>
                <w:rFonts w:hint="eastAsia" w:ascii="宋体" w:hAnsi="宋体" w:eastAsia="宋体" w:cs="宋体"/>
                <w:kern w:val="2"/>
                <w:sz w:val="21"/>
                <w:szCs w:val="21"/>
              </w:rPr>
              <w:t>分；</w:t>
            </w:r>
          </w:p>
          <w:p w14:paraId="6BC20116">
            <w:pPr>
              <w:pStyle w:val="5"/>
              <w:widowControl w:val="0"/>
              <w:adjustRightInd/>
              <w:snapToGrid/>
              <w:spacing w:after="0" w:line="240" w:lineRule="auto"/>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④服务方案流程模糊不具体，对本次检测服务流程不够熟悉，质量保证措施较差，基本达到本次采购需求得</w:t>
            </w:r>
            <w:r>
              <w:rPr>
                <w:rFonts w:hint="eastAsia" w:ascii="宋体" w:hAnsi="宋体" w:eastAsia="宋体" w:cs="宋体"/>
                <w:kern w:val="2"/>
                <w:sz w:val="21"/>
                <w:szCs w:val="21"/>
                <w:lang w:val="en-US" w:eastAsia="zh-CN"/>
              </w:rPr>
              <w:t>4</w:t>
            </w:r>
            <w:r>
              <w:rPr>
                <w:rFonts w:hint="eastAsia" w:ascii="宋体" w:hAnsi="宋体" w:eastAsia="宋体" w:cs="宋体"/>
                <w:kern w:val="2"/>
                <w:sz w:val="21"/>
                <w:szCs w:val="21"/>
              </w:rPr>
              <w:t>分；</w:t>
            </w:r>
          </w:p>
          <w:p w14:paraId="63905E35">
            <w:pPr>
              <w:pStyle w:val="5"/>
              <w:widowControl w:val="0"/>
              <w:adjustRightInd/>
              <w:snapToGrid/>
              <w:spacing w:after="0" w:line="240" w:lineRule="auto"/>
              <w:ind w:firstLine="0" w:firstLineChars="0"/>
              <w:jc w:val="both"/>
              <w:rPr>
                <w:rFonts w:hint="eastAsia" w:ascii="宋体" w:hAnsi="宋体" w:eastAsia="宋体" w:cs="宋体"/>
                <w:bCs/>
                <w:sz w:val="21"/>
                <w:szCs w:val="21"/>
                <w:lang w:val="zh-CN" w:bidi="zh-CN"/>
              </w:rPr>
            </w:pPr>
            <w:r>
              <w:rPr>
                <w:rFonts w:hint="eastAsia" w:ascii="宋体" w:hAnsi="宋体" w:eastAsia="宋体" w:cs="宋体"/>
                <w:kern w:val="2"/>
                <w:sz w:val="21"/>
                <w:szCs w:val="21"/>
              </w:rPr>
              <w:t>⑤未提供服务方案及服务质量保证措施的不得分。</w:t>
            </w:r>
          </w:p>
        </w:tc>
      </w:tr>
      <w:tr w14:paraId="70A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1137" w:type="dxa"/>
            <w:vMerge w:val="continue"/>
            <w:vAlign w:val="center"/>
          </w:tcPr>
          <w:p w14:paraId="24CD79CE">
            <w:pPr>
              <w:spacing w:line="240" w:lineRule="auto"/>
              <w:jc w:val="center"/>
              <w:rPr>
                <w:rFonts w:hint="eastAsia" w:ascii="宋体" w:hAnsi="宋体" w:cs="宋体"/>
                <w:sz w:val="21"/>
                <w:szCs w:val="21"/>
              </w:rPr>
            </w:pPr>
          </w:p>
        </w:tc>
        <w:tc>
          <w:tcPr>
            <w:tcW w:w="1018" w:type="dxa"/>
            <w:vAlign w:val="center"/>
          </w:tcPr>
          <w:p w14:paraId="6ADBE220">
            <w:pPr>
              <w:spacing w:line="240" w:lineRule="auto"/>
              <w:jc w:val="center"/>
              <w:textAlignment w:val="baseline"/>
              <w:rPr>
                <w:rFonts w:hint="eastAsia" w:ascii="宋体" w:hAnsi="宋体" w:cs="宋体"/>
                <w:bCs/>
                <w:sz w:val="21"/>
                <w:szCs w:val="21"/>
                <w:lang w:val="zh-CN" w:bidi="zh-CN"/>
              </w:rPr>
            </w:pPr>
            <w:r>
              <w:rPr>
                <w:rFonts w:hint="eastAsia" w:ascii="宋体" w:hAnsi="宋体" w:cs="宋体"/>
                <w:bCs/>
                <w:sz w:val="21"/>
                <w:szCs w:val="21"/>
              </w:rPr>
              <w:t>配备设备</w:t>
            </w:r>
          </w:p>
        </w:tc>
        <w:tc>
          <w:tcPr>
            <w:tcW w:w="810" w:type="dxa"/>
            <w:vAlign w:val="center"/>
          </w:tcPr>
          <w:p w14:paraId="48AC9395">
            <w:pPr>
              <w:spacing w:line="240" w:lineRule="auto"/>
              <w:jc w:val="center"/>
              <w:rPr>
                <w:rFonts w:hint="eastAsia" w:ascii="宋体" w:hAnsi="宋体" w:cs="宋体"/>
                <w:sz w:val="21"/>
                <w:szCs w:val="21"/>
              </w:rPr>
            </w:pPr>
            <w:r>
              <w:rPr>
                <w:rFonts w:hint="eastAsia" w:ascii="宋体" w:hAnsi="宋体" w:cs="宋体"/>
                <w:sz w:val="21"/>
                <w:szCs w:val="21"/>
                <w:lang w:val="en-US" w:eastAsia="zh-CN"/>
              </w:rPr>
              <w:t>10</w:t>
            </w:r>
            <w:r>
              <w:rPr>
                <w:rFonts w:hint="eastAsia" w:ascii="宋体" w:hAnsi="宋体" w:cs="宋体"/>
                <w:sz w:val="21"/>
                <w:szCs w:val="21"/>
              </w:rPr>
              <w:t>分</w:t>
            </w:r>
          </w:p>
        </w:tc>
        <w:tc>
          <w:tcPr>
            <w:tcW w:w="6433" w:type="dxa"/>
          </w:tcPr>
          <w:p w14:paraId="63BEA3DA">
            <w:pPr>
              <w:spacing w:line="240" w:lineRule="auto"/>
              <w:textAlignment w:val="baseline"/>
              <w:rPr>
                <w:rFonts w:hint="eastAsia" w:ascii="宋体" w:hAnsi="宋体" w:eastAsia="宋体" w:cs="宋体"/>
                <w:bCs/>
                <w:sz w:val="21"/>
                <w:szCs w:val="21"/>
                <w:lang w:val="en-US" w:eastAsia="zh-CN"/>
              </w:rPr>
            </w:pPr>
            <w:r>
              <w:rPr>
                <w:rFonts w:hint="eastAsia" w:ascii="宋体" w:hAnsi="宋体" w:cs="宋体"/>
                <w:bCs/>
                <w:sz w:val="21"/>
                <w:szCs w:val="21"/>
              </w:rPr>
              <w:t>供应商提供能够满足检测任务需要所配置的检测检验设备(包含但不限于符合国家标准要求的检测设备、分析设备)，并提供检测计量检定证书</w:t>
            </w:r>
            <w:r>
              <w:rPr>
                <w:rFonts w:hint="eastAsia" w:ascii="宋体" w:hAnsi="宋体" w:cs="宋体"/>
                <w:bCs/>
                <w:sz w:val="21"/>
                <w:szCs w:val="21"/>
                <w:lang w:eastAsia="zh-CN"/>
              </w:rPr>
              <w:t>。</w:t>
            </w:r>
          </w:p>
          <w:p w14:paraId="02EC7A4D">
            <w:pPr>
              <w:spacing w:line="240" w:lineRule="auto"/>
              <w:textAlignment w:val="baseline"/>
              <w:rPr>
                <w:rFonts w:hint="eastAsia" w:ascii="宋体" w:hAnsi="宋体" w:cs="宋体"/>
                <w:bCs/>
                <w:sz w:val="21"/>
                <w:szCs w:val="21"/>
                <w:lang w:val="en-US" w:eastAsia="zh-CN"/>
              </w:rPr>
            </w:pPr>
            <w:r>
              <w:rPr>
                <w:rFonts w:hint="eastAsia" w:ascii="宋体" w:hAnsi="宋体" w:cs="宋体"/>
                <w:bCs/>
                <w:sz w:val="21"/>
                <w:szCs w:val="21"/>
                <w:lang w:val="en-US" w:eastAsia="zh-CN"/>
              </w:rPr>
              <w:t>①设备配置齐全，全部提供有效检定证书，且设备型号/精度优于国家标准要求</w:t>
            </w:r>
            <w:r>
              <w:rPr>
                <w:rFonts w:hint="eastAsia" w:ascii="宋体" w:hAnsi="宋体" w:cs="宋体"/>
                <w:bCs/>
                <w:sz w:val="21"/>
                <w:szCs w:val="21"/>
              </w:rPr>
              <w:t>得</w:t>
            </w:r>
            <w:r>
              <w:rPr>
                <w:rFonts w:hint="eastAsia" w:ascii="宋体" w:hAnsi="宋体" w:cs="宋体"/>
                <w:bCs/>
                <w:sz w:val="21"/>
                <w:szCs w:val="21"/>
                <w:lang w:val="en-US" w:eastAsia="zh-CN"/>
              </w:rPr>
              <w:t>10</w:t>
            </w:r>
            <w:r>
              <w:rPr>
                <w:rFonts w:hint="eastAsia" w:ascii="宋体" w:hAnsi="宋体" w:cs="宋体"/>
                <w:bCs/>
                <w:sz w:val="21"/>
                <w:szCs w:val="21"/>
              </w:rPr>
              <w:t>分</w:t>
            </w:r>
            <w:r>
              <w:rPr>
                <w:rFonts w:hint="eastAsia" w:ascii="宋体" w:hAnsi="宋体" w:cs="宋体"/>
                <w:bCs/>
                <w:sz w:val="21"/>
                <w:szCs w:val="21"/>
                <w:lang w:val="en-US" w:eastAsia="zh-CN"/>
              </w:rPr>
              <w:t>；</w:t>
            </w:r>
          </w:p>
          <w:p w14:paraId="16921709">
            <w:pPr>
              <w:spacing w:line="240" w:lineRule="auto"/>
              <w:textAlignment w:val="baseline"/>
              <w:rPr>
                <w:rFonts w:hint="eastAsia" w:ascii="宋体" w:hAnsi="宋体" w:cs="宋体"/>
                <w:bCs/>
                <w:sz w:val="21"/>
                <w:szCs w:val="21"/>
                <w:lang w:val="en-US" w:eastAsia="zh-CN"/>
              </w:rPr>
            </w:pPr>
            <w:r>
              <w:rPr>
                <w:rFonts w:hint="eastAsia" w:ascii="宋体" w:hAnsi="宋体" w:cs="宋体"/>
                <w:bCs/>
                <w:sz w:val="21"/>
                <w:szCs w:val="21"/>
                <w:lang w:val="en-US" w:eastAsia="zh-CN"/>
              </w:rPr>
              <w:t>②设备满足基本要求，检定证书齐全得6分；</w:t>
            </w:r>
          </w:p>
          <w:p w14:paraId="2BCF6778">
            <w:pPr>
              <w:spacing w:line="240" w:lineRule="auto"/>
              <w:textAlignment w:val="baseline"/>
              <w:rPr>
                <w:rFonts w:hint="eastAsia" w:ascii="宋体" w:hAnsi="宋体" w:cs="宋体"/>
                <w:bCs/>
                <w:sz w:val="21"/>
                <w:szCs w:val="21"/>
                <w:lang w:val="en-US" w:eastAsia="zh-CN"/>
              </w:rPr>
            </w:pPr>
            <w:r>
              <w:rPr>
                <w:rFonts w:hint="eastAsia" w:ascii="宋体" w:hAnsi="宋体" w:cs="宋体"/>
                <w:bCs/>
                <w:sz w:val="21"/>
                <w:szCs w:val="21"/>
                <w:lang w:val="en-US" w:eastAsia="zh-CN"/>
              </w:rPr>
              <w:t>③设备配置不足或检定证书不完整得3分；</w:t>
            </w:r>
          </w:p>
          <w:p w14:paraId="72D3BADC">
            <w:pPr>
              <w:spacing w:line="240" w:lineRule="auto"/>
              <w:textAlignment w:val="baseline"/>
              <w:rPr>
                <w:rFonts w:hint="eastAsia" w:ascii="宋体" w:hAnsi="宋体" w:cs="宋体"/>
                <w:bCs/>
                <w:sz w:val="21"/>
                <w:szCs w:val="21"/>
                <w:lang w:bidi="zh-CN"/>
              </w:rPr>
            </w:pPr>
            <w:r>
              <w:rPr>
                <w:rFonts w:hint="eastAsia" w:ascii="宋体" w:hAnsi="宋体" w:cs="宋体"/>
                <w:bCs/>
                <w:sz w:val="21"/>
                <w:szCs w:val="21"/>
                <w:lang w:val="en-US" w:eastAsia="zh-CN"/>
              </w:rPr>
              <w:t>④</w:t>
            </w:r>
            <w:r>
              <w:rPr>
                <w:rFonts w:hint="eastAsia" w:ascii="宋体" w:hAnsi="宋体" w:cs="宋体"/>
                <w:bCs/>
                <w:sz w:val="21"/>
                <w:szCs w:val="21"/>
              </w:rPr>
              <w:t>未提供者不得分。</w:t>
            </w:r>
          </w:p>
        </w:tc>
      </w:tr>
      <w:tr w14:paraId="6E3D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1" w:hRule="atLeast"/>
          <w:jc w:val="center"/>
        </w:trPr>
        <w:tc>
          <w:tcPr>
            <w:tcW w:w="1137" w:type="dxa"/>
            <w:vMerge w:val="continue"/>
            <w:vAlign w:val="center"/>
          </w:tcPr>
          <w:p w14:paraId="3908F88A">
            <w:pPr>
              <w:spacing w:line="240" w:lineRule="auto"/>
              <w:jc w:val="center"/>
              <w:rPr>
                <w:rFonts w:hint="eastAsia" w:ascii="宋体" w:hAnsi="宋体" w:cs="宋体"/>
                <w:sz w:val="21"/>
                <w:szCs w:val="21"/>
              </w:rPr>
            </w:pPr>
          </w:p>
        </w:tc>
        <w:tc>
          <w:tcPr>
            <w:tcW w:w="1018" w:type="dxa"/>
            <w:vAlign w:val="center"/>
          </w:tcPr>
          <w:p w14:paraId="558D108C">
            <w:pPr>
              <w:spacing w:line="240" w:lineRule="auto"/>
              <w:jc w:val="center"/>
              <w:rPr>
                <w:rFonts w:hint="eastAsia" w:ascii="宋体" w:hAnsi="宋体" w:cs="宋体"/>
                <w:sz w:val="21"/>
                <w:szCs w:val="21"/>
              </w:rPr>
            </w:pPr>
            <w:r>
              <w:rPr>
                <w:rFonts w:hint="eastAsia" w:ascii="宋体" w:hAnsi="宋体" w:cs="宋体"/>
                <w:sz w:val="21"/>
                <w:szCs w:val="21"/>
              </w:rPr>
              <w:t>实施方案</w:t>
            </w:r>
          </w:p>
        </w:tc>
        <w:tc>
          <w:tcPr>
            <w:tcW w:w="810" w:type="dxa"/>
            <w:vAlign w:val="center"/>
          </w:tcPr>
          <w:p w14:paraId="1C06810B">
            <w:pPr>
              <w:spacing w:line="240" w:lineRule="auto"/>
              <w:jc w:val="center"/>
              <w:rPr>
                <w:rFonts w:hint="eastAsia" w:ascii="宋体" w:hAnsi="宋体" w:cs="宋体"/>
                <w:sz w:val="21"/>
                <w:szCs w:val="21"/>
              </w:rPr>
            </w:pPr>
            <w:r>
              <w:rPr>
                <w:rFonts w:hint="eastAsia" w:ascii="宋体" w:hAnsi="宋体" w:cs="宋体"/>
                <w:sz w:val="21"/>
                <w:szCs w:val="21"/>
                <w:lang w:val="en-US" w:eastAsia="zh-CN"/>
              </w:rPr>
              <w:t>20</w:t>
            </w:r>
            <w:r>
              <w:rPr>
                <w:rFonts w:hint="eastAsia" w:ascii="宋体" w:hAnsi="宋体" w:cs="宋体"/>
                <w:sz w:val="21"/>
                <w:szCs w:val="21"/>
              </w:rPr>
              <w:t>分</w:t>
            </w:r>
          </w:p>
        </w:tc>
        <w:tc>
          <w:tcPr>
            <w:tcW w:w="6433" w:type="dxa"/>
          </w:tcPr>
          <w:p w14:paraId="4A12457E">
            <w:pPr>
              <w:adjustRightInd w:val="0"/>
              <w:spacing w:line="240" w:lineRule="auto"/>
              <w:rPr>
                <w:rFonts w:hint="eastAsia" w:ascii="宋体" w:hAnsi="宋体" w:cs="宋体"/>
                <w:bCs/>
                <w:sz w:val="21"/>
                <w:szCs w:val="21"/>
              </w:rPr>
            </w:pPr>
            <w:r>
              <w:rPr>
                <w:rFonts w:hint="eastAsia" w:ascii="宋体" w:hAnsi="宋体" w:cs="宋体"/>
                <w:bCs/>
                <w:sz w:val="21"/>
                <w:szCs w:val="21"/>
              </w:rPr>
              <w:t>实施方案应针对本项目，所有检测符合国家检验检测机构资质认定，检测方案及仪器设备符合有关技术规范和标准，检测数据具有代表性、准确性、精密性、可比性和完整性。</w:t>
            </w:r>
          </w:p>
          <w:p w14:paraId="300C9671">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①</w:t>
            </w:r>
            <w:r>
              <w:rPr>
                <w:rFonts w:hint="eastAsia" w:ascii="宋体" w:hAnsi="宋体" w:cs="宋体"/>
                <w:bCs/>
                <w:sz w:val="21"/>
                <w:szCs w:val="21"/>
              </w:rPr>
              <w:t>实施方案清晰、针对性强、科学合理、内容详尽完整、可操作性强的得20分；</w:t>
            </w:r>
          </w:p>
          <w:p w14:paraId="2676CF74">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②</w:t>
            </w:r>
            <w:r>
              <w:rPr>
                <w:rFonts w:hint="eastAsia" w:ascii="宋体" w:hAnsi="宋体" w:cs="宋体"/>
                <w:bCs/>
                <w:sz w:val="21"/>
                <w:szCs w:val="21"/>
              </w:rPr>
              <w:t>较清晰、较科学合理、内容较完整、可操作性较强的得14分；</w:t>
            </w:r>
          </w:p>
          <w:p w14:paraId="6652351A">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③</w:t>
            </w:r>
            <w:r>
              <w:rPr>
                <w:rFonts w:hint="eastAsia" w:ascii="宋体" w:hAnsi="宋体" w:cs="宋体"/>
                <w:bCs/>
                <w:sz w:val="21"/>
                <w:szCs w:val="21"/>
              </w:rPr>
              <w:t>有一定针对性和可操作性、较合理可行、内容较完整但有欠缺的得9分；</w:t>
            </w:r>
          </w:p>
          <w:p w14:paraId="125C0BF1">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④</w:t>
            </w:r>
            <w:r>
              <w:rPr>
                <w:rFonts w:hint="eastAsia" w:ascii="宋体" w:hAnsi="宋体" w:cs="宋体"/>
                <w:bCs/>
                <w:sz w:val="21"/>
                <w:szCs w:val="21"/>
              </w:rPr>
              <w:t>针对性、可操作性不强、内容完整性差的得4分；</w:t>
            </w:r>
          </w:p>
          <w:p w14:paraId="502C7D3D">
            <w:pPr>
              <w:adjustRightInd w:val="0"/>
              <w:spacing w:line="240" w:lineRule="auto"/>
              <w:rPr>
                <w:rFonts w:hint="eastAsia" w:ascii="宋体" w:hAnsi="宋体" w:cs="宋体"/>
                <w:bCs/>
                <w:sz w:val="21"/>
                <w:szCs w:val="21"/>
                <w:lang w:val="zh-CN"/>
              </w:rPr>
            </w:pPr>
            <w:r>
              <w:rPr>
                <w:rFonts w:hint="eastAsia" w:ascii="宋体" w:hAnsi="宋体" w:cs="宋体"/>
                <w:bCs/>
                <w:sz w:val="21"/>
                <w:szCs w:val="21"/>
                <w:lang w:val="en-US" w:eastAsia="zh-CN"/>
              </w:rPr>
              <w:t>⑤</w:t>
            </w:r>
            <w:r>
              <w:rPr>
                <w:rFonts w:hint="eastAsia" w:ascii="宋体" w:hAnsi="宋体" w:cs="宋体"/>
                <w:bCs/>
                <w:sz w:val="21"/>
                <w:szCs w:val="21"/>
              </w:rPr>
              <w:t>未提供不得分。</w:t>
            </w:r>
          </w:p>
        </w:tc>
      </w:tr>
      <w:tr w14:paraId="1902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1" w:hRule="atLeast"/>
          <w:jc w:val="center"/>
        </w:trPr>
        <w:tc>
          <w:tcPr>
            <w:tcW w:w="1137" w:type="dxa"/>
            <w:vMerge w:val="continue"/>
            <w:vAlign w:val="center"/>
          </w:tcPr>
          <w:p w14:paraId="50D66792">
            <w:pPr>
              <w:spacing w:line="240" w:lineRule="auto"/>
              <w:jc w:val="center"/>
              <w:rPr>
                <w:rFonts w:hint="eastAsia" w:ascii="宋体" w:hAnsi="宋体" w:cs="宋体"/>
                <w:sz w:val="21"/>
                <w:szCs w:val="21"/>
              </w:rPr>
            </w:pPr>
          </w:p>
        </w:tc>
        <w:tc>
          <w:tcPr>
            <w:tcW w:w="1018" w:type="dxa"/>
            <w:vAlign w:val="center"/>
          </w:tcPr>
          <w:p w14:paraId="775974BD">
            <w:pPr>
              <w:spacing w:line="240" w:lineRule="auto"/>
              <w:jc w:val="center"/>
              <w:rPr>
                <w:rFonts w:hint="eastAsia" w:ascii="宋体" w:hAnsi="宋体" w:cs="宋体"/>
                <w:sz w:val="21"/>
                <w:szCs w:val="21"/>
              </w:rPr>
            </w:pPr>
            <w:r>
              <w:rPr>
                <w:rFonts w:hint="eastAsia" w:ascii="宋体" w:hAnsi="宋体" w:cs="宋体"/>
                <w:sz w:val="21"/>
                <w:szCs w:val="21"/>
              </w:rPr>
              <w:t>应急预案</w:t>
            </w:r>
          </w:p>
        </w:tc>
        <w:tc>
          <w:tcPr>
            <w:tcW w:w="810" w:type="dxa"/>
            <w:vAlign w:val="center"/>
          </w:tcPr>
          <w:p w14:paraId="25283FDE">
            <w:pPr>
              <w:spacing w:line="240" w:lineRule="auto"/>
              <w:jc w:val="center"/>
              <w:rPr>
                <w:rFonts w:hint="eastAsia" w:ascii="宋体" w:hAnsi="宋体" w:cs="宋体"/>
                <w:sz w:val="21"/>
                <w:szCs w:val="21"/>
              </w:rPr>
            </w:pPr>
            <w:r>
              <w:rPr>
                <w:rFonts w:hint="eastAsia" w:ascii="宋体" w:hAnsi="宋体" w:cs="宋体"/>
                <w:sz w:val="21"/>
                <w:szCs w:val="21"/>
                <w:lang w:val="en-US" w:eastAsia="zh-CN"/>
              </w:rPr>
              <w:t>10</w:t>
            </w:r>
            <w:r>
              <w:rPr>
                <w:rFonts w:hint="eastAsia" w:ascii="宋体" w:hAnsi="宋体" w:cs="宋体"/>
                <w:sz w:val="21"/>
                <w:szCs w:val="21"/>
              </w:rPr>
              <w:t>分</w:t>
            </w:r>
          </w:p>
        </w:tc>
        <w:tc>
          <w:tcPr>
            <w:tcW w:w="6433" w:type="dxa"/>
          </w:tcPr>
          <w:p w14:paraId="45176185">
            <w:pPr>
              <w:adjustRightInd w:val="0"/>
              <w:spacing w:line="240" w:lineRule="auto"/>
              <w:rPr>
                <w:rFonts w:hint="eastAsia" w:ascii="宋体" w:hAnsi="宋体" w:cs="宋体"/>
                <w:bCs/>
                <w:sz w:val="21"/>
                <w:szCs w:val="21"/>
              </w:rPr>
            </w:pPr>
            <w:r>
              <w:rPr>
                <w:rFonts w:hint="eastAsia" w:ascii="宋体" w:hAnsi="宋体" w:cs="宋体"/>
                <w:bCs/>
                <w:sz w:val="21"/>
                <w:szCs w:val="21"/>
              </w:rPr>
              <w:t>供应商根据本项目实际情况编制应急预案，内容包括但不限于应急响应时间、应急响应方案、应急保障措施等。</w:t>
            </w:r>
          </w:p>
          <w:p w14:paraId="3AA11ED0">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①</w:t>
            </w:r>
            <w:r>
              <w:rPr>
                <w:rFonts w:hint="eastAsia" w:ascii="宋体" w:hAnsi="宋体" w:cs="宋体"/>
                <w:bCs/>
                <w:sz w:val="21"/>
                <w:szCs w:val="21"/>
              </w:rPr>
              <w:t>应急预案覆盖全面、方案清晰、应急保障措施科学合理、应急处理得当、可操作性强的得10分；</w:t>
            </w:r>
          </w:p>
          <w:p w14:paraId="196243A7">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②</w:t>
            </w:r>
            <w:r>
              <w:rPr>
                <w:rFonts w:hint="eastAsia" w:ascii="宋体" w:hAnsi="宋体" w:cs="宋体"/>
                <w:bCs/>
                <w:sz w:val="21"/>
                <w:szCs w:val="21"/>
              </w:rPr>
              <w:t>预案覆盖基本全面、方案较清晰、措施较合理、处理基本得当、可操作性较强的得7分；</w:t>
            </w:r>
          </w:p>
          <w:p w14:paraId="57F581D0">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③</w:t>
            </w:r>
            <w:r>
              <w:rPr>
                <w:rFonts w:hint="eastAsia" w:ascii="宋体" w:hAnsi="宋体" w:cs="宋体"/>
                <w:bCs/>
                <w:sz w:val="21"/>
                <w:szCs w:val="21"/>
              </w:rPr>
              <w:t>预案覆盖较全面但有欠缺、可操作性一般的得4分；</w:t>
            </w:r>
          </w:p>
          <w:p w14:paraId="0A21AB62">
            <w:pPr>
              <w:adjustRightInd w:val="0"/>
              <w:spacing w:line="240" w:lineRule="auto"/>
              <w:rPr>
                <w:rFonts w:hint="eastAsia" w:ascii="宋体" w:hAnsi="宋体" w:cs="宋体"/>
                <w:bCs/>
                <w:sz w:val="21"/>
                <w:szCs w:val="21"/>
              </w:rPr>
            </w:pPr>
            <w:r>
              <w:rPr>
                <w:rFonts w:hint="eastAsia" w:ascii="宋体" w:hAnsi="宋体" w:cs="宋体"/>
                <w:bCs/>
                <w:sz w:val="21"/>
                <w:szCs w:val="21"/>
                <w:lang w:val="en-US" w:eastAsia="zh-CN"/>
              </w:rPr>
              <w:t>④</w:t>
            </w:r>
            <w:r>
              <w:rPr>
                <w:rFonts w:hint="eastAsia" w:ascii="宋体" w:hAnsi="宋体" w:cs="宋体"/>
                <w:bCs/>
                <w:sz w:val="21"/>
                <w:szCs w:val="21"/>
              </w:rPr>
              <w:t>预案有欠缺、操作性差的得1分；</w:t>
            </w:r>
          </w:p>
          <w:p w14:paraId="61E80133">
            <w:pPr>
              <w:adjustRightInd w:val="0"/>
              <w:spacing w:line="240" w:lineRule="auto"/>
              <w:rPr>
                <w:rFonts w:hint="eastAsia" w:ascii="宋体" w:hAnsi="宋体" w:cs="宋体"/>
                <w:bCs/>
                <w:sz w:val="21"/>
                <w:szCs w:val="21"/>
                <w:lang w:val="zh-CN"/>
              </w:rPr>
            </w:pPr>
            <w:r>
              <w:rPr>
                <w:rFonts w:hint="eastAsia" w:ascii="宋体" w:hAnsi="宋体" w:cs="宋体"/>
                <w:bCs/>
                <w:sz w:val="21"/>
                <w:szCs w:val="21"/>
                <w:lang w:val="en-US" w:eastAsia="zh-CN"/>
              </w:rPr>
              <w:t>⑤</w:t>
            </w:r>
            <w:r>
              <w:rPr>
                <w:rFonts w:hint="eastAsia" w:ascii="宋体" w:hAnsi="宋体" w:cs="宋体"/>
                <w:bCs/>
                <w:sz w:val="21"/>
                <w:szCs w:val="21"/>
              </w:rPr>
              <w:t>未提供不得分。</w:t>
            </w:r>
          </w:p>
        </w:tc>
      </w:tr>
      <w:tr w14:paraId="3DC3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7" w:hRule="atLeast"/>
          <w:jc w:val="center"/>
        </w:trPr>
        <w:tc>
          <w:tcPr>
            <w:tcW w:w="1137" w:type="dxa"/>
            <w:vMerge w:val="continue"/>
            <w:vAlign w:val="center"/>
          </w:tcPr>
          <w:p w14:paraId="67A1A0E7">
            <w:pPr>
              <w:spacing w:line="240" w:lineRule="auto"/>
              <w:jc w:val="center"/>
              <w:rPr>
                <w:rFonts w:hint="eastAsia" w:ascii="宋体" w:hAnsi="宋体" w:cs="宋体"/>
                <w:sz w:val="21"/>
                <w:szCs w:val="21"/>
              </w:rPr>
            </w:pPr>
          </w:p>
        </w:tc>
        <w:tc>
          <w:tcPr>
            <w:tcW w:w="1018" w:type="dxa"/>
            <w:vAlign w:val="center"/>
          </w:tcPr>
          <w:p w14:paraId="13E774CB">
            <w:pPr>
              <w:spacing w:line="240" w:lineRule="auto"/>
              <w:jc w:val="center"/>
              <w:textAlignment w:val="baseline"/>
              <w:rPr>
                <w:rFonts w:hint="eastAsia" w:ascii="宋体" w:hAnsi="宋体" w:cs="宋体"/>
                <w:bCs/>
                <w:sz w:val="21"/>
                <w:szCs w:val="21"/>
                <w:lang w:val="zh-CN" w:bidi="zh-CN"/>
              </w:rPr>
            </w:pPr>
            <w:r>
              <w:rPr>
                <w:rFonts w:hint="eastAsia" w:ascii="宋体" w:hAnsi="宋体" w:cs="宋体"/>
                <w:bCs/>
                <w:sz w:val="21"/>
                <w:szCs w:val="21"/>
                <w:lang w:val="zh-CN" w:bidi="zh-CN"/>
              </w:rPr>
              <w:t>检测服务机构</w:t>
            </w:r>
          </w:p>
        </w:tc>
        <w:tc>
          <w:tcPr>
            <w:tcW w:w="810" w:type="dxa"/>
            <w:vAlign w:val="center"/>
          </w:tcPr>
          <w:p w14:paraId="52F71B2F">
            <w:pPr>
              <w:spacing w:line="240" w:lineRule="auto"/>
              <w:jc w:val="center"/>
              <w:textAlignment w:val="baseline"/>
              <w:rPr>
                <w:rFonts w:hint="eastAsia" w:ascii="宋体" w:hAnsi="宋体" w:cs="宋体"/>
                <w:bCs/>
                <w:sz w:val="21"/>
                <w:szCs w:val="21"/>
                <w:lang w:bidi="zh-CN"/>
              </w:rPr>
            </w:pPr>
            <w:r>
              <w:rPr>
                <w:rFonts w:hint="eastAsia" w:ascii="宋体" w:hAnsi="宋体" w:cs="宋体"/>
                <w:bCs/>
                <w:sz w:val="21"/>
                <w:szCs w:val="21"/>
              </w:rPr>
              <w:t>10分</w:t>
            </w:r>
          </w:p>
        </w:tc>
        <w:tc>
          <w:tcPr>
            <w:tcW w:w="6433" w:type="dxa"/>
          </w:tcPr>
          <w:p w14:paraId="2DC4DD22">
            <w:pPr>
              <w:adjustRightInd w:val="0"/>
              <w:spacing w:line="240" w:lineRule="auto"/>
              <w:rPr>
                <w:rFonts w:hint="eastAsia" w:ascii="宋体" w:hAnsi="宋体" w:cs="宋体"/>
                <w:bCs/>
                <w:sz w:val="21"/>
                <w:szCs w:val="21"/>
              </w:rPr>
            </w:pPr>
            <w:r>
              <w:rPr>
                <w:rFonts w:hint="eastAsia" w:ascii="宋体" w:hAnsi="宋体" w:cs="宋体"/>
                <w:bCs/>
                <w:sz w:val="21"/>
                <w:szCs w:val="21"/>
              </w:rPr>
              <w:t>供应商提供售后服务方案及承诺（包括售后服务承诺、质量保证</w:t>
            </w:r>
            <w:r>
              <w:rPr>
                <w:rFonts w:hint="eastAsia" w:ascii="宋体" w:hAnsi="宋体" w:cs="宋体"/>
                <w:bCs/>
                <w:sz w:val="21"/>
                <w:szCs w:val="21"/>
                <w:lang w:eastAsia="zh-CN"/>
              </w:rPr>
              <w:t>），</w:t>
            </w:r>
            <w:r>
              <w:rPr>
                <w:rFonts w:hint="eastAsia" w:ascii="宋体" w:hAnsi="宋体" w:cs="宋体"/>
                <w:bCs/>
                <w:sz w:val="21"/>
                <w:szCs w:val="21"/>
              </w:rPr>
              <w:t>投标人应为本项目设立专门检测服务团队，并提供运作流程、人员管理、设备调配计划等。</w:t>
            </w:r>
          </w:p>
          <w:p w14:paraId="64338CBD">
            <w:pPr>
              <w:adjustRightInd w:val="0"/>
              <w:spacing w:line="240" w:lineRule="auto"/>
              <w:rPr>
                <w:rFonts w:hint="eastAsia" w:ascii="宋体" w:hAnsi="宋体" w:cs="宋体"/>
                <w:bCs/>
                <w:sz w:val="21"/>
                <w:szCs w:val="21"/>
                <w:lang w:eastAsia="zh-CN"/>
              </w:rPr>
            </w:pPr>
            <w:r>
              <w:rPr>
                <w:rFonts w:hint="eastAsia" w:ascii="宋体" w:hAnsi="宋体" w:cs="宋体"/>
                <w:bCs/>
                <w:sz w:val="21"/>
                <w:szCs w:val="21"/>
              </w:rPr>
              <w:t>①检测服务机构设立清晰完整，运作流程明确，管理计划符合项目实施要求，且具备合理的人员和设备调配，对责任分工明确得10分</w:t>
            </w:r>
            <w:r>
              <w:rPr>
                <w:rFonts w:hint="eastAsia" w:ascii="宋体" w:hAnsi="宋体" w:cs="宋体"/>
                <w:bCs/>
                <w:sz w:val="21"/>
                <w:szCs w:val="21"/>
                <w:lang w:eastAsia="zh-CN"/>
              </w:rPr>
              <w:t>；</w:t>
            </w:r>
          </w:p>
          <w:p w14:paraId="1E4484B9">
            <w:pPr>
              <w:adjustRightInd w:val="0"/>
              <w:spacing w:line="240" w:lineRule="auto"/>
              <w:rPr>
                <w:rFonts w:hint="eastAsia" w:ascii="宋体" w:hAnsi="宋体" w:cs="宋体"/>
                <w:bCs/>
                <w:sz w:val="21"/>
                <w:szCs w:val="21"/>
                <w:lang w:eastAsia="zh-CN"/>
              </w:rPr>
            </w:pPr>
            <w:r>
              <w:rPr>
                <w:rFonts w:hint="eastAsia" w:ascii="宋体" w:hAnsi="宋体" w:cs="宋体"/>
                <w:bCs/>
                <w:sz w:val="21"/>
                <w:szCs w:val="21"/>
              </w:rPr>
              <w:t>②检测服务机构设立完整，运作流程基本明确，管理计划基本符合项目实施要求，且具有基本合理可行人员和设备调配、责任分工，得7分</w:t>
            </w:r>
            <w:r>
              <w:rPr>
                <w:rFonts w:hint="eastAsia" w:ascii="宋体" w:hAnsi="宋体" w:cs="宋体"/>
                <w:bCs/>
                <w:sz w:val="21"/>
                <w:szCs w:val="21"/>
                <w:lang w:eastAsia="zh-CN"/>
              </w:rPr>
              <w:t>；</w:t>
            </w:r>
          </w:p>
          <w:p w14:paraId="576FB072">
            <w:pPr>
              <w:adjustRightInd w:val="0"/>
              <w:spacing w:line="240" w:lineRule="auto"/>
              <w:rPr>
                <w:rFonts w:hint="eastAsia" w:ascii="宋体" w:hAnsi="宋体" w:cs="宋体"/>
                <w:bCs/>
                <w:sz w:val="21"/>
                <w:szCs w:val="21"/>
                <w:lang w:eastAsia="zh-CN"/>
              </w:rPr>
            </w:pPr>
            <w:r>
              <w:rPr>
                <w:rFonts w:hint="eastAsia" w:ascii="宋体" w:hAnsi="宋体" w:cs="宋体"/>
                <w:bCs/>
                <w:sz w:val="21"/>
                <w:szCs w:val="21"/>
              </w:rPr>
              <w:t>③检测服务机构设立简单，运作流程杂乱，管理计划无法符合项目实施要求的得3分</w:t>
            </w:r>
            <w:r>
              <w:rPr>
                <w:rFonts w:hint="eastAsia" w:ascii="宋体" w:hAnsi="宋体" w:cs="宋体"/>
                <w:bCs/>
                <w:sz w:val="21"/>
                <w:szCs w:val="21"/>
                <w:lang w:eastAsia="zh-CN"/>
              </w:rPr>
              <w:t>；</w:t>
            </w:r>
          </w:p>
          <w:p w14:paraId="355CA658">
            <w:pPr>
              <w:adjustRightInd w:val="0"/>
              <w:spacing w:line="240" w:lineRule="auto"/>
              <w:rPr>
                <w:rFonts w:hint="eastAsia" w:ascii="宋体" w:hAnsi="宋体" w:cs="宋体"/>
                <w:bCs/>
                <w:sz w:val="21"/>
                <w:szCs w:val="21"/>
                <w:lang w:val="zh-CN" w:bidi="zh-CN"/>
              </w:rPr>
            </w:pPr>
            <w:r>
              <w:rPr>
                <w:rFonts w:hint="eastAsia" w:ascii="宋体" w:hAnsi="宋体" w:cs="宋体"/>
                <w:bCs/>
                <w:sz w:val="21"/>
                <w:szCs w:val="21"/>
              </w:rPr>
              <w:t xml:space="preserve">④其他情况或不提供得0分。 </w:t>
            </w:r>
          </w:p>
        </w:tc>
      </w:tr>
      <w:tr w14:paraId="10D6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2155" w:type="dxa"/>
            <w:gridSpan w:val="2"/>
            <w:vAlign w:val="center"/>
          </w:tcPr>
          <w:p w14:paraId="2C4BED72">
            <w:pPr>
              <w:spacing w:line="240" w:lineRule="auto"/>
              <w:jc w:val="center"/>
              <w:textAlignment w:val="baseline"/>
              <w:rPr>
                <w:rFonts w:hint="eastAsia" w:ascii="宋体" w:hAnsi="宋体" w:cs="宋体"/>
                <w:bCs/>
                <w:sz w:val="21"/>
                <w:szCs w:val="21"/>
              </w:rPr>
            </w:pPr>
            <w:r>
              <w:rPr>
                <w:rFonts w:hint="eastAsia" w:ascii="宋体" w:hAnsi="宋体" w:cs="宋体"/>
                <w:bCs/>
                <w:sz w:val="21"/>
                <w:szCs w:val="21"/>
              </w:rPr>
              <w:t>合计</w:t>
            </w:r>
          </w:p>
        </w:tc>
        <w:tc>
          <w:tcPr>
            <w:tcW w:w="810" w:type="dxa"/>
            <w:vAlign w:val="center"/>
          </w:tcPr>
          <w:p w14:paraId="35D9EA8C">
            <w:pPr>
              <w:tabs>
                <w:tab w:val="left" w:pos="354"/>
              </w:tabs>
              <w:spacing w:line="240" w:lineRule="auto"/>
              <w:jc w:val="center"/>
              <w:textAlignment w:val="baseline"/>
              <w:rPr>
                <w:rFonts w:hint="eastAsia" w:ascii="宋体" w:hAnsi="宋体" w:cs="宋体"/>
                <w:bCs/>
                <w:sz w:val="21"/>
                <w:szCs w:val="21"/>
              </w:rPr>
            </w:pPr>
            <w:r>
              <w:rPr>
                <w:rFonts w:hint="eastAsia" w:ascii="宋体" w:hAnsi="宋体" w:cs="宋体"/>
                <w:bCs/>
                <w:sz w:val="21"/>
                <w:szCs w:val="21"/>
              </w:rPr>
              <w:t>100分</w:t>
            </w:r>
          </w:p>
        </w:tc>
        <w:tc>
          <w:tcPr>
            <w:tcW w:w="6433" w:type="dxa"/>
          </w:tcPr>
          <w:p w14:paraId="26012E87">
            <w:pPr>
              <w:adjustRightInd w:val="0"/>
              <w:spacing w:line="240" w:lineRule="auto"/>
              <w:rPr>
                <w:rFonts w:hint="eastAsia" w:ascii="宋体" w:hAnsi="宋体" w:cs="宋体"/>
                <w:bCs/>
                <w:sz w:val="21"/>
                <w:szCs w:val="21"/>
              </w:rPr>
            </w:pPr>
          </w:p>
        </w:tc>
      </w:tr>
      <w:bookmarkEnd w:id="0"/>
      <w:bookmarkEnd w:id="1"/>
    </w:tbl>
    <w:p w14:paraId="2651B1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B3D95"/>
    <w:rsid w:val="237B697B"/>
    <w:rsid w:val="30E96B45"/>
    <w:rsid w:val="351A7FB5"/>
    <w:rsid w:val="37BA3FE5"/>
    <w:rsid w:val="481A2D7B"/>
    <w:rsid w:val="69046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napToGrid w:val="0"/>
      <w:spacing w:line="300" w:lineRule="auto"/>
    </w:pPr>
    <w:rPr>
      <w:rFonts w:ascii="宋体" w:hAnsi="宋体"/>
      <w:spacing w:val="4"/>
      <w:sz w:val="24"/>
      <w:lang w:eastAsia="en-US"/>
    </w:rPr>
  </w:style>
  <w:style w:type="paragraph" w:styleId="5">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2</Pages>
  <Words>1692</Words>
  <Characters>1717</Characters>
  <Lines>0</Lines>
  <Paragraphs>0</Paragraphs>
  <TotalTime>19</TotalTime>
  <ScaleCrop>false</ScaleCrop>
  <LinksUpToDate>false</LinksUpToDate>
  <CharactersWithSpaces>1740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2022-08-17T08:07:00Z</dcterms:created>
  <dc:creator>Administrator</dc:creator>
  <cp:lastModifiedBy>李潇</cp:lastModifiedBy>
  <cp:lastPrinted>2025-08-13T00:44:00Z</cp:lastPrinted>
  <dcterms:modified xsi:type="dcterms:W3CDTF">2026-07-27T02:22:19Z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F56F97E3C314436A8015930EC693E6D6</vt:lpwstr>
  </property>
  <property fmtid="{D5CDD505-2E9C-101B-9397-08002B2CF9AE}" pid="4" name="KSOTemplateDocerSaveRecord">
    <vt:lpwstr>eyJoZGlkIjoiYzFkMDQzMWM5MDUwMzA0YzRkNGI3ZDM3ZThkZDk5NmYiLCJ1c2VySWQiOiIxNTY4NDg2NTI5In0=</vt:lpwstr>
  </property>
</Properties>
</file>