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lang w:eastAsia="zh-CN"/>
        </w:rPr>
      </w:pPr>
      <w:r>
        <w:rPr>
          <w:rFonts w:hint="eastAsia" w:ascii="宋体" w:hAnsi="宋体" w:eastAsia="宋体" w:cs="宋体"/>
          <w:b/>
          <w:sz w:val="32"/>
          <w:szCs w:val="32"/>
        </w:rPr>
        <w:t>甘肃省中医院</w:t>
      </w:r>
      <w:r>
        <w:rPr>
          <w:rFonts w:hint="eastAsia" w:ascii="宋体" w:hAnsi="宋体" w:eastAsia="宋体" w:cs="宋体"/>
          <w:b/>
          <w:sz w:val="32"/>
          <w:szCs w:val="32"/>
          <w:lang w:eastAsia="zh-CN"/>
        </w:rPr>
        <w:t>正骨楼手术间洁净系统检测项目</w:t>
      </w:r>
    </w:p>
    <w:p>
      <w:pPr>
        <w:jc w:val="center"/>
        <w:rPr>
          <w:rFonts w:hint="eastAsia" w:ascii="宋体" w:hAnsi="宋体" w:eastAsia="宋体" w:cs="宋体"/>
          <w:b/>
          <w:sz w:val="32"/>
          <w:szCs w:val="32"/>
          <w:lang w:eastAsia="zh-CN"/>
        </w:rPr>
      </w:pPr>
      <w:r>
        <w:rPr>
          <w:rFonts w:hint="eastAsia" w:ascii="宋体" w:hAnsi="宋体" w:eastAsia="宋体" w:cs="宋体"/>
          <w:b/>
          <w:sz w:val="32"/>
          <w:szCs w:val="32"/>
        </w:rPr>
        <w:t>招标参数</w:t>
      </w:r>
      <w:r>
        <w:rPr>
          <w:rFonts w:hint="eastAsia" w:ascii="宋体" w:hAnsi="宋体" w:eastAsia="宋体" w:cs="宋体"/>
          <w:b/>
          <w:sz w:val="32"/>
          <w:szCs w:val="32"/>
          <w:lang w:eastAsia="zh-CN"/>
        </w:rPr>
        <w:t>及评分办法</w:t>
      </w:r>
    </w:p>
    <w:p>
      <w:pPr>
        <w:pStyle w:val="2"/>
        <w:rPr>
          <w:rFonts w:hint="eastAsia"/>
          <w:lang w:val="en-US" w:eastAsia="zh-CN"/>
        </w:rPr>
      </w:pP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eastAsia="zh-CN"/>
        </w:rPr>
      </w:pPr>
      <w:r>
        <w:rPr>
          <w:rFonts w:hint="eastAsia" w:ascii="宋体" w:hAnsi="宋体" w:eastAsia="宋体" w:cs="宋体"/>
          <w:b/>
          <w:bCs/>
          <w:sz w:val="28"/>
          <w:szCs w:val="28"/>
          <w:lang w:eastAsia="zh-CN"/>
        </w:rPr>
        <w:t>一、项目名称：</w:t>
      </w:r>
      <w:r>
        <w:rPr>
          <w:rFonts w:hint="eastAsia" w:ascii="宋体" w:hAnsi="宋体" w:eastAsia="宋体" w:cs="宋体"/>
          <w:sz w:val="28"/>
          <w:szCs w:val="28"/>
          <w:lang w:eastAsia="zh-CN"/>
        </w:rPr>
        <w:t>甘肃省中医院正骨楼手术间洁净系统检测项目</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eastAsia="zh-CN"/>
        </w:rPr>
        <w:t>二、项目地点：</w:t>
      </w:r>
      <w:r>
        <w:rPr>
          <w:rFonts w:hint="eastAsia" w:ascii="宋体" w:hAnsi="宋体" w:eastAsia="宋体" w:cs="宋体"/>
          <w:sz w:val="28"/>
          <w:szCs w:val="28"/>
          <w:lang w:val="en-US" w:eastAsia="zh-CN"/>
        </w:rPr>
        <w:t>甘肃省中医院</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三、项目内容：</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所有手术间、四五楼洁净走廊、</w:t>
      </w:r>
      <w:r>
        <w:rPr>
          <w:rFonts w:hint="eastAsia" w:ascii="宋体" w:hAnsi="宋体" w:eastAsia="宋体" w:cs="宋体"/>
          <w:sz w:val="28"/>
          <w:szCs w:val="28"/>
          <w:lang w:val="en-US" w:eastAsia="zh-CN"/>
        </w:rPr>
        <w:t>ICU大厅及隔离单间的检测，</w:t>
      </w:r>
      <w:r>
        <w:rPr>
          <w:rFonts w:hint="eastAsia" w:ascii="宋体" w:hAnsi="宋体" w:eastAsia="宋体" w:cs="宋体"/>
          <w:sz w:val="28"/>
          <w:szCs w:val="28"/>
          <w:lang w:eastAsia="zh-CN"/>
        </w:rPr>
        <w:t>详见附表。</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四、服务期限：</w:t>
      </w:r>
    </w:p>
    <w:p>
      <w:pPr>
        <w:keepNext w:val="0"/>
        <w:keepLines w:val="0"/>
        <w:pageBreakBefore w:val="0"/>
        <w:widowControl/>
        <w:kinsoku/>
        <w:wordWrap/>
        <w:overflowPunct/>
        <w:topLinePunct w:val="0"/>
        <w:autoSpaceDE/>
        <w:autoSpaceDN/>
        <w:bidi w:val="0"/>
        <w:adjustRightInd/>
        <w:snapToGrid/>
        <w:spacing w:line="480" w:lineRule="auto"/>
        <w:ind w:firstLine="560" w:firstLineChars="200"/>
        <w:jc w:val="left"/>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合同签订之日起，</w:t>
      </w:r>
      <w:r>
        <w:rPr>
          <w:rFonts w:hint="eastAsia" w:ascii="宋体" w:hAnsi="宋体" w:eastAsia="宋体" w:cs="宋体"/>
          <w:color w:val="000000" w:themeColor="text1"/>
          <w:sz w:val="28"/>
          <w:szCs w:val="28"/>
          <w:lang w:val="en-US" w:eastAsia="zh-CN"/>
          <w14:textFill>
            <w14:solidFill>
              <w14:schemeClr w14:val="tx1"/>
            </w14:solidFill>
          </w14:textFill>
        </w:rPr>
        <w:t>20日内完成所有现场检测，并出具有效检测报告</w:t>
      </w:r>
      <w:r>
        <w:rPr>
          <w:rFonts w:hint="eastAsia" w:ascii="宋体" w:hAnsi="宋体" w:eastAsia="宋体" w:cs="宋体"/>
          <w:color w:val="000000" w:themeColor="text1"/>
          <w:sz w:val="28"/>
          <w:szCs w:val="28"/>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五、技术要求：</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sz w:val="28"/>
          <w:szCs w:val="28"/>
          <w:lang w:val="en-US" w:eastAsia="zh-CN"/>
        </w:rPr>
        <w:t>1.</w:t>
      </w:r>
      <w:r>
        <w:rPr>
          <w:rFonts w:hint="eastAsia" w:ascii="宋体" w:hAnsi="宋体" w:eastAsia="宋体" w:cs="宋体"/>
          <w:color w:val="000000" w:themeColor="text1"/>
          <w:sz w:val="28"/>
          <w:szCs w:val="28"/>
          <w:lang w:val="en-US" w:eastAsia="zh-CN"/>
          <w14:textFill>
            <w14:solidFill>
              <w14:schemeClr w14:val="tx1"/>
            </w14:solidFill>
          </w14:textFill>
        </w:rPr>
        <w:t>按照《洁净室施工及验收规范》GB50591-2010等相关规定技术规范及相关文件</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2.所有检测工作完成后，出具正式</w:t>
      </w:r>
      <w:r>
        <w:rPr>
          <w:rFonts w:hint="eastAsia" w:ascii="宋体" w:hAnsi="宋体" w:eastAsia="宋体" w:cs="宋体"/>
          <w:sz w:val="28"/>
          <w:szCs w:val="28"/>
          <w:lang w:eastAsia="zh-CN"/>
        </w:rPr>
        <w:t>有效</w:t>
      </w:r>
      <w:r>
        <w:rPr>
          <w:rFonts w:hint="eastAsia" w:ascii="宋体" w:hAnsi="宋体" w:eastAsia="宋体" w:cs="宋体"/>
          <w:sz w:val="28"/>
          <w:szCs w:val="28"/>
        </w:rPr>
        <w:t>检测报告</w:t>
      </w:r>
      <w:r>
        <w:rPr>
          <w:rFonts w:hint="eastAsia" w:ascii="宋体" w:hAnsi="宋体" w:eastAsia="宋体" w:cs="宋体"/>
          <w:sz w:val="28"/>
          <w:szCs w:val="28"/>
          <w:lang w:eastAsia="zh-CN"/>
        </w:rPr>
        <w:t>四</w:t>
      </w:r>
      <w:r>
        <w:rPr>
          <w:rFonts w:hint="eastAsia" w:ascii="宋体" w:hAnsi="宋体" w:eastAsia="宋体" w:cs="宋体"/>
          <w:sz w:val="28"/>
          <w:szCs w:val="28"/>
        </w:rPr>
        <w:t>份。</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六、投标单位资格要求：</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（一）在中华人民共和国境内注册，具有营业执照、税务登记证、组织机构代码证或企业“三证合一”只需提供营业执照复印件并加盖公章； </w:t>
      </w:r>
    </w:p>
    <w:p>
      <w:pPr>
        <w:keepNext w:val="0"/>
        <w:keepLines w:val="0"/>
        <w:pageBreakBefore w:val="0"/>
        <w:kinsoku/>
        <w:wordWrap/>
        <w:overflowPunct/>
        <w:topLinePunct w:val="0"/>
        <w:autoSpaceDE/>
        <w:autoSpaceDN/>
        <w:bidi w:val="0"/>
        <w:adjustRightInd/>
        <w:snapToGrid/>
        <w:spacing w:line="480" w:lineRule="auto"/>
        <w:ind w:left="596" w:leftChars="284"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rPr>
        <w:t>（二）</w:t>
      </w:r>
      <w:r>
        <w:rPr>
          <w:rFonts w:hint="eastAsia" w:ascii="宋体" w:hAnsi="宋体" w:eastAsia="宋体" w:cs="宋体"/>
          <w:color w:val="000000" w:themeColor="text1"/>
          <w:sz w:val="28"/>
          <w:szCs w:val="28"/>
          <w:lang w:eastAsia="zh-CN"/>
          <w14:textFill>
            <w14:solidFill>
              <w14:schemeClr w14:val="tx1"/>
            </w14:solidFill>
          </w14:textFill>
        </w:rPr>
        <w:t>具有检验检测机构资质认定证书（</w:t>
      </w:r>
      <w:r>
        <w:rPr>
          <w:rFonts w:hint="eastAsia" w:ascii="宋体" w:hAnsi="宋体" w:eastAsia="宋体" w:cs="宋体"/>
          <w:color w:val="000000" w:themeColor="text1"/>
          <w:sz w:val="28"/>
          <w:szCs w:val="28"/>
          <w:lang w:val="en-US" w:eastAsia="zh-CN"/>
          <w14:textFill>
            <w14:solidFill>
              <w14:schemeClr w14:val="tx1"/>
            </w14:solidFill>
          </w14:textFill>
        </w:rPr>
        <w:t>CMA</w:t>
      </w:r>
      <w:r>
        <w:rPr>
          <w:rFonts w:hint="eastAsia" w:ascii="宋体" w:hAnsi="宋体" w:eastAsia="宋体" w:cs="宋体"/>
          <w:color w:val="000000" w:themeColor="text1"/>
          <w:sz w:val="28"/>
          <w:szCs w:val="28"/>
          <w:lang w:eastAsia="zh-CN"/>
          <w14:textFill>
            <w14:solidFill>
              <w14:schemeClr w14:val="tx1"/>
            </w14:solidFill>
          </w14:textFill>
        </w:rPr>
        <w:t>），并能熟练</w:t>
      </w:r>
    </w:p>
    <w:p>
      <w:pPr>
        <w:keepNext w:val="0"/>
        <w:keepLines w:val="0"/>
        <w:pageBreakBefore w:val="0"/>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掌握洁净手术部建筑技术规范GB50333-2013检测标准。</w:t>
      </w:r>
    </w:p>
    <w:p>
      <w:pPr>
        <w:keepNext w:val="0"/>
        <w:keepLines w:val="0"/>
        <w:pageBreakBefore w:val="0"/>
        <w:numPr>
          <w:ilvl w:val="0"/>
          <w:numId w:val="1"/>
        </w:numPr>
        <w:kinsoku/>
        <w:wordWrap/>
        <w:overflowPunct/>
        <w:topLinePunct w:val="0"/>
        <w:autoSpaceDE/>
        <w:autoSpaceDN/>
        <w:bidi w:val="0"/>
        <w:adjustRightInd/>
        <w:snapToGrid/>
        <w:spacing w:line="480" w:lineRule="auto"/>
        <w:ind w:left="596" w:leftChars="284" w:firstLine="0" w:firstLineChars="0"/>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投标人须提供上一年度经会计事务所或审计机构审</w:t>
      </w:r>
    </w:p>
    <w:p>
      <w:pPr>
        <w:keepNext w:val="0"/>
        <w:keepLines w:val="0"/>
        <w:pageBreakBefore w:val="0"/>
        <w:numPr>
          <w:ilvl w:val="0"/>
          <w:numId w:val="0"/>
        </w:numPr>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计的完整合法的财务报告；若成立不足一年的须提供银行出具的资信证明。</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）投标</w:t>
      </w:r>
      <w:r>
        <w:rPr>
          <w:rFonts w:hint="eastAsia" w:ascii="宋体" w:hAnsi="宋体" w:eastAsia="宋体" w:cs="宋体"/>
          <w:sz w:val="28"/>
          <w:szCs w:val="28"/>
          <w:lang w:eastAsia="zh-CN"/>
        </w:rPr>
        <w:t>人</w:t>
      </w:r>
      <w:r>
        <w:rPr>
          <w:rFonts w:hint="eastAsia" w:ascii="宋体" w:hAnsi="宋体" w:eastAsia="宋体" w:cs="宋体"/>
          <w:sz w:val="28"/>
          <w:szCs w:val="28"/>
        </w:rPr>
        <w:t>未被列入“信用中国”网站记录失信被执行人或重大税收违法案件当事人名单或政府采购严重违法失信行为记录名单；不处于中国政府采购网(www.ccgp.gov.cn)政府采购严重违法失信行为信息记录中的禁止参加政府采购活动期间的方可参加本项目的投标。</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eastAsia="zh-CN"/>
        </w:rPr>
        <w:t>五</w:t>
      </w:r>
      <w:r>
        <w:rPr>
          <w:rFonts w:hint="eastAsia" w:ascii="宋体" w:hAnsi="宋体" w:eastAsia="宋体" w:cs="宋体"/>
          <w:sz w:val="28"/>
          <w:szCs w:val="28"/>
        </w:rPr>
        <w:t>）</w:t>
      </w:r>
      <w:r>
        <w:rPr>
          <w:rFonts w:hint="eastAsia" w:ascii="宋体" w:hAnsi="宋体" w:eastAsia="宋体" w:cs="宋体"/>
          <w:sz w:val="28"/>
          <w:szCs w:val="28"/>
          <w:lang w:eastAsia="zh-CN"/>
        </w:rPr>
        <w:t>本次招标不接受联合体投标。</w:t>
      </w:r>
    </w:p>
    <w:p>
      <w:pPr>
        <w:keepNext w:val="0"/>
        <w:keepLines w:val="0"/>
        <w:pageBreakBefore w:val="0"/>
        <w:widowControl/>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七、报名时需携带的资料：</w:t>
      </w:r>
    </w:p>
    <w:p>
      <w:pPr>
        <w:keepNext w:val="0"/>
        <w:keepLines w:val="0"/>
        <w:pageBreakBefore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企业营业执照（三证合一）、与所报本项目相关的资质证明、企业法人授权书、授权人及被授权人身份证</w:t>
      </w:r>
      <w:r>
        <w:rPr>
          <w:rFonts w:hint="eastAsia" w:ascii="宋体" w:hAnsi="宋体" w:eastAsia="宋体" w:cs="宋体"/>
          <w:sz w:val="28"/>
          <w:szCs w:val="28"/>
          <w:lang w:eastAsia="zh-CN"/>
        </w:rPr>
        <w:t>复印件（盖公章）</w:t>
      </w:r>
      <w:r>
        <w:rPr>
          <w:rFonts w:hint="eastAsia" w:ascii="宋体" w:hAnsi="宋体" w:eastAsia="宋体" w:cs="宋体"/>
          <w:sz w:val="28"/>
          <w:szCs w:val="28"/>
        </w:rPr>
        <w:t>、依法缴纳税收及社保的良好记录证明材料、良好财务状况证明材料、“信用中国”网站上查询记录打印件，所有报名资料全部提供复印件并加盖企业公章。</w:t>
      </w:r>
    </w:p>
    <w:p>
      <w:pPr>
        <w:keepNext w:val="0"/>
        <w:keepLines w:val="0"/>
        <w:pageBreakBefore w:val="0"/>
        <w:widowControl/>
        <w:numPr>
          <w:ilvl w:val="0"/>
          <w:numId w:val="2"/>
        </w:numPr>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项目预算价为3万元</w:t>
      </w:r>
      <w:bookmarkStart w:id="0" w:name="_GoBack"/>
      <w:bookmarkEnd w:id="0"/>
    </w:p>
    <w:p>
      <w:pPr>
        <w:pStyle w:val="9"/>
        <w:rPr>
          <w:rFonts w:hint="default" w:ascii="仿宋_GB2312" w:eastAsia="仿宋_GB2312" w:cs="宋体" w:hAnsiTheme="minorHAnsi"/>
          <w:b/>
          <w:bCs/>
          <w:color w:val="auto"/>
          <w:kern w:val="2"/>
          <w:sz w:val="30"/>
          <w:szCs w:val="30"/>
          <w:lang w:val="en-US" w:eastAsia="zh-CN" w:bidi="ar-SA"/>
        </w:rPr>
      </w:pPr>
      <w:r>
        <w:rPr>
          <w:rFonts w:hint="eastAsia" w:ascii="仿宋_GB2312" w:eastAsia="仿宋_GB2312" w:cs="宋体" w:hAnsiTheme="minorHAnsi"/>
          <w:b/>
          <w:bCs/>
          <w:color w:val="auto"/>
          <w:kern w:val="2"/>
          <w:sz w:val="30"/>
          <w:szCs w:val="30"/>
          <w:lang w:val="en-US" w:eastAsia="zh-CN" w:bidi="ar-SA"/>
        </w:rPr>
        <w:t>九、附表：</w:t>
      </w:r>
    </w:p>
    <w:tbl>
      <w:tblPr>
        <w:tblStyle w:val="8"/>
        <w:tblpPr w:leftFromText="180" w:rightFromText="180" w:vertAnchor="text" w:horzAnchor="page" w:tblpX="753" w:tblpY="816"/>
        <w:tblOverlap w:val="never"/>
        <w:tblW w:w="10550" w:type="dxa"/>
        <w:tblInd w:w="0" w:type="dxa"/>
        <w:tblLayout w:type="fixed"/>
        <w:tblCellMar>
          <w:top w:w="0" w:type="dxa"/>
          <w:left w:w="108" w:type="dxa"/>
          <w:bottom w:w="0" w:type="dxa"/>
          <w:right w:w="108" w:type="dxa"/>
        </w:tblCellMar>
      </w:tblPr>
      <w:tblGrid>
        <w:gridCol w:w="2117"/>
        <w:gridCol w:w="2150"/>
        <w:gridCol w:w="6283"/>
      </w:tblGrid>
      <w:tr>
        <w:tblPrEx>
          <w:tblLayout w:type="fixed"/>
          <w:tblCellMar>
            <w:top w:w="0" w:type="dxa"/>
            <w:left w:w="108" w:type="dxa"/>
            <w:bottom w:w="0" w:type="dxa"/>
            <w:right w:w="108" w:type="dxa"/>
          </w:tblCellMar>
        </w:tblPrEx>
        <w:trPr>
          <w:trHeight w:val="502" w:hRule="atLeast"/>
        </w:trPr>
        <w:tc>
          <w:tcPr>
            <w:tcW w:w="211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检测区域</w:t>
            </w:r>
          </w:p>
        </w:tc>
        <w:tc>
          <w:tcPr>
            <w:tcW w:w="2150"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项目名称</w:t>
            </w:r>
          </w:p>
        </w:tc>
        <w:tc>
          <w:tcPr>
            <w:tcW w:w="6283" w:type="dxa"/>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备注</w:t>
            </w:r>
          </w:p>
        </w:tc>
      </w:tr>
      <w:tr>
        <w:tblPrEx>
          <w:tblLayout w:type="fixed"/>
          <w:tblCellMar>
            <w:top w:w="0" w:type="dxa"/>
            <w:left w:w="108" w:type="dxa"/>
            <w:bottom w:w="0" w:type="dxa"/>
            <w:right w:w="108" w:type="dxa"/>
          </w:tblCellMar>
        </w:tblPrEx>
        <w:trPr>
          <w:trHeight w:val="312" w:hRule="atLeast"/>
        </w:trPr>
        <w:tc>
          <w:tcPr>
            <w:tcW w:w="21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eastAsia="zh-CN"/>
              </w:rPr>
            </w:pPr>
            <w:r>
              <w:rPr>
                <w:rFonts w:hint="eastAsia" w:ascii="宋体" w:hAnsi="宋体" w:eastAsia="宋体" w:cs="宋体"/>
                <w:sz w:val="24"/>
                <w:szCs w:val="24"/>
                <w:lang w:eastAsia="zh-CN"/>
              </w:rPr>
              <w:t>手术室、</w:t>
            </w:r>
          </w:p>
          <w:p>
            <w:pPr>
              <w:pStyle w:val="9"/>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隔离单间</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悬浮粒子</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手术区Ⅰ级5个点周边8个点，Ⅲ级3个点周边6个点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温度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设置3个点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相对湿度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设置3个点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风速</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根据进风口面积确定</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照度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间隔2米设置1个点位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静压差</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门口设置1个点位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eastAsia="zh-CN"/>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噪声</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设置5个点位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新风量</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highlight w:val="none"/>
                <w:lang w:val="en-US" w:eastAsia="zh-CN"/>
              </w:rPr>
              <w:t>二氧化碳</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设置3个点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沉降菌</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手术区Ⅰ级13个点周边4个点，Ⅲ级3个点周边2个点</w:t>
            </w:r>
          </w:p>
        </w:tc>
      </w:tr>
      <w:tr>
        <w:tblPrEx>
          <w:tblLayout w:type="fixed"/>
          <w:tblCellMar>
            <w:top w:w="0" w:type="dxa"/>
            <w:left w:w="108" w:type="dxa"/>
            <w:bottom w:w="0" w:type="dxa"/>
            <w:right w:w="108" w:type="dxa"/>
          </w:tblCellMar>
        </w:tblPrEx>
        <w:trPr>
          <w:trHeight w:val="312" w:hRule="atLeast"/>
        </w:trPr>
        <w:tc>
          <w:tcPr>
            <w:tcW w:w="21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ICU大厅</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悬浮粒子</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设置15个点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温度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设置7个点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相对湿度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设置7个点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风速</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根据进风口面积确定</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照度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间隔2米设置1个点位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静压差</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门口设置1个点位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噪声</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设置5个点位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新风量</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二氧化碳</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设置7个点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沉降菌</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设置14个点</w:t>
            </w:r>
          </w:p>
        </w:tc>
      </w:tr>
      <w:tr>
        <w:tblPrEx>
          <w:tblLayout w:type="fixed"/>
          <w:tblCellMar>
            <w:top w:w="0" w:type="dxa"/>
            <w:left w:w="108" w:type="dxa"/>
            <w:bottom w:w="0" w:type="dxa"/>
            <w:right w:w="108" w:type="dxa"/>
          </w:tblCellMar>
        </w:tblPrEx>
        <w:trPr>
          <w:trHeight w:val="312" w:hRule="atLeast"/>
        </w:trPr>
        <w:tc>
          <w:tcPr>
            <w:tcW w:w="211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lang w:val="en-US" w:eastAsia="zh-CN"/>
              </w:rPr>
              <w:t>洁净走廊（2）</w:t>
            </w: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悬浮粒子</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设置23个点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温度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设置10个点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相对湿度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设置10个点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风速</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根据进风口面积确定</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照度</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间隔2米设置1个点位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静压差</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门口设置1个点位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噪声</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设置10个点位</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新风量</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二氧化碳</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设置15个点</w:t>
            </w:r>
          </w:p>
        </w:tc>
      </w:tr>
      <w:tr>
        <w:tblPrEx>
          <w:tblLayout w:type="fixed"/>
          <w:tblCellMar>
            <w:top w:w="0" w:type="dxa"/>
            <w:left w:w="108" w:type="dxa"/>
            <w:bottom w:w="0" w:type="dxa"/>
            <w:right w:w="108" w:type="dxa"/>
          </w:tblCellMar>
        </w:tblPrEx>
        <w:trPr>
          <w:trHeight w:val="312" w:hRule="atLeast"/>
        </w:trPr>
        <w:tc>
          <w:tcPr>
            <w:tcW w:w="2117"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kern w:val="2"/>
                <w:sz w:val="24"/>
                <w:szCs w:val="24"/>
                <w:lang w:val="en-US" w:eastAsia="zh-CN" w:bidi="ar-SA"/>
              </w:rPr>
            </w:pPr>
          </w:p>
        </w:tc>
        <w:tc>
          <w:tcPr>
            <w:tcW w:w="2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center"/>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沉降菌</w:t>
            </w:r>
          </w:p>
        </w:tc>
        <w:tc>
          <w:tcPr>
            <w:tcW w:w="628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after="0" w:line="180" w:lineRule="atLeast"/>
              <w:jc w:val="both"/>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设置20个点</w:t>
            </w:r>
          </w:p>
        </w:tc>
      </w:tr>
    </w:tbl>
    <w:p>
      <w:pPr>
        <w:pStyle w:val="2"/>
        <w:rPr>
          <w:rFonts w:hint="eastAsia"/>
          <w:sz w:val="28"/>
          <w:szCs w:val="28"/>
          <w:lang w:val="en-US" w:eastAsia="zh-CN"/>
        </w:rPr>
      </w:pPr>
    </w:p>
    <w:p>
      <w:pPr>
        <w:rPr>
          <w:rFonts w:hint="eastAsia"/>
          <w:b/>
          <w:bCs/>
          <w:lang w:val="en-US" w:eastAsia="zh-CN"/>
        </w:rPr>
      </w:pPr>
      <w:r>
        <w:rPr>
          <w:rFonts w:hint="eastAsia"/>
          <w:b/>
          <w:bCs/>
          <w:sz w:val="28"/>
          <w:szCs w:val="28"/>
          <w:lang w:val="en-US" w:eastAsia="zh-CN"/>
        </w:rPr>
        <w:t>十、综合评分表</w:t>
      </w:r>
    </w:p>
    <w:tbl>
      <w:tblPr>
        <w:tblStyle w:val="13"/>
        <w:tblW w:w="10778" w:type="dxa"/>
        <w:tblInd w:w="-11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0"/>
        <w:gridCol w:w="1900"/>
        <w:gridCol w:w="75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3200" w:type="dxa"/>
            <w:gridSpan w:val="2"/>
            <w:tcBorders>
              <w:top w:val="single" w:color="000000" w:sz="6" w:space="0"/>
              <w:bottom w:val="single" w:color="000000" w:sz="6" w:space="0"/>
            </w:tcBorders>
            <w:vAlign w:val="center"/>
          </w:tcPr>
          <w:p>
            <w:pPr>
              <w:pStyle w:val="12"/>
              <w:spacing w:before="36"/>
              <w:ind w:left="239" w:right="99"/>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分值构成</w:t>
            </w:r>
          </w:p>
        </w:tc>
        <w:tc>
          <w:tcPr>
            <w:tcW w:w="7578" w:type="dxa"/>
            <w:tcBorders>
              <w:top w:val="single" w:color="000000" w:sz="6" w:space="0"/>
              <w:bottom w:val="single" w:color="000000" w:sz="6" w:space="0"/>
            </w:tcBorders>
            <w:vAlign w:val="center"/>
          </w:tcPr>
          <w:p>
            <w:pPr>
              <w:pStyle w:val="12"/>
              <w:spacing w:before="36" w:line="480" w:lineRule="exact"/>
              <w:ind w:left="1663" w:right="1518"/>
              <w:jc w:val="center"/>
              <w:rPr>
                <w:rFonts w:hint="eastAsia" w:ascii="宋体" w:hAnsi="宋体" w:eastAsia="宋体" w:cs="宋体"/>
                <w:b/>
                <w:sz w:val="24"/>
                <w:szCs w:val="24"/>
                <w:lang w:eastAsia="en-US"/>
              </w:rPr>
            </w:pPr>
            <w:r>
              <w:rPr>
                <w:rFonts w:hint="eastAsia" w:ascii="宋体" w:hAnsi="宋体" w:eastAsia="宋体" w:cs="宋体"/>
                <w:b/>
                <w:sz w:val="24"/>
                <w:szCs w:val="24"/>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2" w:hRule="atLeast"/>
        </w:trPr>
        <w:tc>
          <w:tcPr>
            <w:tcW w:w="3200" w:type="dxa"/>
            <w:gridSpan w:val="2"/>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分值构成(总分 100 分)</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eastAsia="zh-CN"/>
              </w:rPr>
            </w:pPr>
            <w:r>
              <w:rPr>
                <w:rFonts w:hint="eastAsia" w:ascii="宋体" w:hAnsi="宋体" w:eastAsia="宋体" w:cs="宋体"/>
                <w:sz w:val="24"/>
                <w:szCs w:val="24"/>
                <w:lang w:eastAsia="zh-CN"/>
              </w:rPr>
              <w:t>商务部分：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41</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分</w:t>
            </w:r>
          </w:p>
          <w:p>
            <w:pPr>
              <w:pStyle w:val="12"/>
              <w:spacing w:line="480" w:lineRule="exact"/>
              <w:ind w:left="5" w:right="-15"/>
              <w:rPr>
                <w:rFonts w:hint="eastAsia" w:ascii="宋体" w:hAnsi="宋体" w:eastAsia="宋体" w:cs="宋体"/>
                <w:sz w:val="24"/>
                <w:szCs w:val="24"/>
                <w:lang w:eastAsia="zh-CN"/>
              </w:rPr>
            </w:pPr>
            <w:r>
              <w:rPr>
                <w:rFonts w:hint="eastAsia" w:ascii="宋体" w:hAnsi="宋体" w:eastAsia="宋体" w:cs="宋体"/>
                <w:sz w:val="24"/>
                <w:szCs w:val="24"/>
                <w:lang w:eastAsia="zh-CN"/>
              </w:rPr>
              <w:t>技术部分：</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29</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分</w:t>
            </w:r>
          </w:p>
          <w:p>
            <w:pPr>
              <w:pStyle w:val="12"/>
              <w:spacing w:line="480" w:lineRule="exact"/>
              <w:ind w:left="5" w:right="-15"/>
              <w:rPr>
                <w:rFonts w:hint="eastAsia" w:ascii="宋体" w:hAnsi="宋体" w:eastAsia="宋体" w:cs="宋体"/>
                <w:sz w:val="24"/>
                <w:szCs w:val="24"/>
                <w:lang w:eastAsia="en-US"/>
              </w:rPr>
            </w:pPr>
            <w:r>
              <w:rPr>
                <w:rFonts w:hint="eastAsia" w:ascii="宋体" w:hAnsi="宋体" w:eastAsia="宋体" w:cs="宋体"/>
                <w:sz w:val="24"/>
                <w:szCs w:val="24"/>
                <w:lang w:eastAsia="en-US"/>
              </w:rPr>
              <w:t>投标报价：</w:t>
            </w:r>
            <w:r>
              <w:rPr>
                <w:rFonts w:hint="eastAsia" w:ascii="宋体" w:hAnsi="宋体" w:eastAsia="宋体" w:cs="宋体"/>
                <w:sz w:val="24"/>
                <w:szCs w:val="24"/>
                <w:u w:val="single"/>
                <w:lang w:eastAsia="en-US"/>
              </w:rPr>
              <w:t xml:space="preserve"> </w:t>
            </w:r>
            <w:r>
              <w:rPr>
                <w:rFonts w:hint="eastAsia" w:ascii="宋体" w:hAnsi="宋体" w:eastAsia="宋体" w:cs="宋体"/>
                <w:sz w:val="24"/>
                <w:szCs w:val="24"/>
                <w:u w:val="single"/>
                <w:lang w:val="en-US" w:eastAsia="zh-CN"/>
              </w:rPr>
              <w:t xml:space="preserve"> 3</w:t>
            </w:r>
            <w:r>
              <w:rPr>
                <w:rFonts w:hint="eastAsia" w:ascii="宋体" w:hAnsi="宋体" w:eastAsia="宋体" w:cs="宋体"/>
                <w:sz w:val="24"/>
                <w:szCs w:val="24"/>
                <w:u w:val="single"/>
                <w:lang w:eastAsia="en-US"/>
              </w:rPr>
              <w:t>0</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en-US"/>
              </w:rPr>
              <w:t xml:space="preserve"> </w:t>
            </w:r>
            <w:r>
              <w:rPr>
                <w:rFonts w:hint="eastAsia" w:ascii="宋体" w:hAnsi="宋体" w:eastAsia="宋体" w:cs="宋体"/>
                <w:sz w:val="24"/>
                <w:szCs w:val="24"/>
                <w:lang w:eastAsia="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2" w:hRule="atLeast"/>
        </w:trPr>
        <w:tc>
          <w:tcPr>
            <w:tcW w:w="3200" w:type="dxa"/>
            <w:gridSpan w:val="2"/>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投标报价（</w:t>
            </w:r>
            <w:r>
              <w:rPr>
                <w:rFonts w:hint="eastAsia" w:ascii="宋体" w:hAnsi="宋体" w:eastAsia="宋体" w:cs="宋体"/>
                <w:sz w:val="24"/>
                <w:szCs w:val="24"/>
                <w:lang w:val="en-US" w:eastAsia="zh-CN"/>
              </w:rPr>
              <w:t>3</w:t>
            </w:r>
            <w:r>
              <w:rPr>
                <w:rFonts w:hint="eastAsia" w:ascii="宋体" w:hAnsi="宋体" w:eastAsia="宋体" w:cs="宋体"/>
                <w:sz w:val="24"/>
                <w:szCs w:val="24"/>
                <w:lang w:eastAsia="en-US"/>
              </w:rPr>
              <w:t>0分）</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eastAsia="zh-CN"/>
              </w:rPr>
            </w:pPr>
            <w:r>
              <w:rPr>
                <w:rFonts w:hint="eastAsia" w:ascii="宋体" w:hAnsi="宋体" w:eastAsia="宋体" w:cs="宋体"/>
                <w:sz w:val="24"/>
                <w:szCs w:val="24"/>
              </w:rPr>
              <w:t>满足招标文件要求且投标价格最低的投标报价为评标基准价，评标基准价为满分</w:t>
            </w:r>
            <w:r>
              <w:rPr>
                <w:rFonts w:hint="eastAsia" w:ascii="宋体" w:hAnsi="宋体" w:eastAsia="宋体" w:cs="宋体"/>
                <w:sz w:val="24"/>
                <w:szCs w:val="24"/>
                <w:lang w:val="en-US" w:eastAsia="zh-CN"/>
              </w:rPr>
              <w:t>3</w:t>
            </w:r>
            <w:r>
              <w:rPr>
                <w:rFonts w:hint="eastAsia" w:ascii="宋体" w:hAnsi="宋体" w:eastAsia="宋体" w:cs="宋体"/>
                <w:sz w:val="24"/>
                <w:szCs w:val="24"/>
              </w:rPr>
              <w:t>0分。其他投标供应商的价格分统一按照下列公式计算：投标报价得分=（评标基准价/投标报价）×</w:t>
            </w:r>
            <w:r>
              <w:rPr>
                <w:rFonts w:hint="eastAsia" w:ascii="宋体" w:hAnsi="宋体" w:eastAsia="宋体" w:cs="宋体"/>
                <w:sz w:val="24"/>
                <w:szCs w:val="24"/>
                <w:lang w:val="en-US" w:eastAsia="zh-CN"/>
              </w:rPr>
              <w:t>30</w:t>
            </w:r>
            <w:r>
              <w:rPr>
                <w:rFonts w:hint="eastAsia" w:ascii="宋体" w:hAnsi="宋体" w:eastAsia="宋体" w:cs="宋体"/>
                <w:sz w:val="24"/>
                <w:szCs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12" w:hRule="atLeast"/>
        </w:trPr>
        <w:tc>
          <w:tcPr>
            <w:tcW w:w="1300" w:type="dxa"/>
            <w:vMerge w:val="restart"/>
            <w:tcBorders>
              <w:top w:val="single" w:color="auto" w:sz="4"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商务部分</w:t>
            </w:r>
          </w:p>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lang w:val="en-US" w:eastAsia="zh-CN"/>
              </w:rPr>
              <w:t>41</w:t>
            </w:r>
            <w:r>
              <w:rPr>
                <w:rFonts w:hint="eastAsia" w:ascii="宋体" w:hAnsi="宋体" w:eastAsia="宋体" w:cs="宋体"/>
                <w:sz w:val="24"/>
                <w:szCs w:val="24"/>
                <w:lang w:eastAsia="en-US"/>
              </w:rPr>
              <w:t>分）</w:t>
            </w:r>
          </w:p>
        </w:tc>
        <w:tc>
          <w:tcPr>
            <w:tcW w:w="1900" w:type="dxa"/>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资质证书（</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eastAsia="zh-CN"/>
              </w:rPr>
            </w:pPr>
            <w:r>
              <w:rPr>
                <w:rFonts w:hint="eastAsia" w:ascii="宋体" w:hAnsi="宋体" w:eastAsia="宋体" w:cs="宋体"/>
                <w:sz w:val="24"/>
                <w:szCs w:val="24"/>
              </w:rPr>
              <w:t>提供检验检测机构资质认定证书</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CMA</w:t>
            </w:r>
            <w:r>
              <w:rPr>
                <w:rFonts w:hint="eastAsia" w:ascii="宋体" w:hAnsi="宋体" w:eastAsia="宋体" w:cs="宋体"/>
                <w:sz w:val="24"/>
                <w:szCs w:val="24"/>
                <w:lang w:eastAsia="zh-CN"/>
              </w:rPr>
              <w:t>）、中国合格评定国家认可委员会实验室认可证书（</w:t>
            </w:r>
            <w:r>
              <w:rPr>
                <w:rFonts w:hint="eastAsia" w:ascii="宋体" w:hAnsi="宋体" w:eastAsia="宋体" w:cs="宋体"/>
                <w:sz w:val="24"/>
                <w:szCs w:val="24"/>
                <w:lang w:val="en-US" w:eastAsia="zh-CN"/>
              </w:rPr>
              <w:t>CNAS</w:t>
            </w:r>
            <w:r>
              <w:rPr>
                <w:rFonts w:hint="eastAsia" w:ascii="宋体" w:hAnsi="宋体" w:eastAsia="宋体" w:cs="宋体"/>
                <w:sz w:val="24"/>
                <w:szCs w:val="24"/>
                <w:lang w:eastAsia="zh-CN"/>
              </w:rPr>
              <w:t>）、微生物备案资质</w:t>
            </w:r>
            <w:r>
              <w:rPr>
                <w:rFonts w:hint="eastAsia" w:ascii="宋体" w:hAnsi="宋体" w:eastAsia="宋体" w:cs="宋体"/>
                <w:sz w:val="24"/>
                <w:szCs w:val="24"/>
              </w:rPr>
              <w:t>，每少一个证书扣5分，扣完为止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7" w:hRule="atLeast"/>
        </w:trPr>
        <w:tc>
          <w:tcPr>
            <w:tcW w:w="1300" w:type="dxa"/>
            <w:vMerge w:val="continue"/>
            <w:vAlign w:val="center"/>
          </w:tcPr>
          <w:p>
            <w:pPr>
              <w:pStyle w:val="12"/>
              <w:spacing w:line="480" w:lineRule="exact"/>
              <w:ind w:left="5" w:right="-15"/>
              <w:jc w:val="center"/>
              <w:rPr>
                <w:rFonts w:hint="eastAsia" w:ascii="宋体" w:hAnsi="宋体" w:eastAsia="宋体" w:cs="宋体"/>
                <w:sz w:val="24"/>
                <w:szCs w:val="24"/>
                <w:lang w:eastAsia="en-US"/>
              </w:rPr>
            </w:pPr>
          </w:p>
        </w:tc>
        <w:tc>
          <w:tcPr>
            <w:tcW w:w="1900" w:type="dxa"/>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val="zh-CN" w:eastAsia="en-US"/>
              </w:rPr>
            </w:pPr>
            <w:r>
              <w:rPr>
                <w:rFonts w:hint="eastAsia" w:ascii="宋体" w:hAnsi="宋体" w:eastAsia="宋体" w:cs="宋体"/>
                <w:sz w:val="24"/>
                <w:szCs w:val="24"/>
                <w:lang w:eastAsia="en-US"/>
              </w:rPr>
              <w:t>业绩情况（</w:t>
            </w:r>
            <w:r>
              <w:rPr>
                <w:rFonts w:hint="eastAsia" w:ascii="宋体" w:hAnsi="宋体" w:eastAsia="宋体" w:cs="宋体"/>
                <w:sz w:val="24"/>
                <w:szCs w:val="24"/>
                <w:lang w:val="en-US" w:eastAsia="zh-CN"/>
              </w:rPr>
              <w:t>15</w:t>
            </w:r>
            <w:r>
              <w:rPr>
                <w:rFonts w:hint="eastAsia" w:ascii="宋体" w:hAnsi="宋体" w:eastAsia="宋体" w:cs="宋体"/>
                <w:sz w:val="24"/>
                <w:szCs w:val="24"/>
                <w:lang w:eastAsia="en-US"/>
              </w:rPr>
              <w:t>分）</w:t>
            </w:r>
          </w:p>
        </w:tc>
        <w:tc>
          <w:tcPr>
            <w:tcW w:w="7578" w:type="dxa"/>
            <w:tcBorders>
              <w:top w:val="single" w:color="000000" w:sz="6" w:space="0"/>
              <w:bottom w:val="single" w:color="000000" w:sz="6" w:space="0"/>
            </w:tcBorders>
            <w:vAlign w:val="top"/>
          </w:tcPr>
          <w:p>
            <w:pPr>
              <w:pStyle w:val="12"/>
              <w:spacing w:line="480" w:lineRule="exact"/>
              <w:ind w:left="5" w:right="-15"/>
              <w:rPr>
                <w:rFonts w:hint="eastAsia" w:ascii="宋体" w:hAnsi="宋体" w:eastAsia="宋体" w:cs="宋体"/>
                <w:sz w:val="24"/>
                <w:szCs w:val="24"/>
                <w:lang w:val="zh-CN" w:eastAsia="zh-CN"/>
              </w:rPr>
            </w:pPr>
            <w:r>
              <w:rPr>
                <w:rFonts w:hint="eastAsia" w:ascii="宋体" w:hAnsi="宋体" w:eastAsia="宋体" w:cs="宋体"/>
                <w:sz w:val="24"/>
                <w:szCs w:val="24"/>
                <w:lang w:eastAsia="zh-CN"/>
              </w:rPr>
              <w:t>投标人近三年具有类似项目业绩，每提供一份得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分，满分</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分；（以合同或中标通知书为准）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73" w:hRule="atLeast"/>
        </w:trPr>
        <w:tc>
          <w:tcPr>
            <w:tcW w:w="1300" w:type="dxa"/>
            <w:vMerge w:val="continue"/>
            <w:vAlign w:val="center"/>
          </w:tcPr>
          <w:p>
            <w:pPr>
              <w:pStyle w:val="12"/>
              <w:spacing w:line="480" w:lineRule="exact"/>
              <w:ind w:left="5" w:right="-15"/>
              <w:jc w:val="center"/>
              <w:rPr>
                <w:rFonts w:hint="eastAsia" w:ascii="宋体" w:hAnsi="宋体" w:eastAsia="宋体" w:cs="宋体"/>
                <w:sz w:val="24"/>
                <w:szCs w:val="24"/>
                <w:lang w:eastAsia="zh-CN"/>
              </w:rPr>
            </w:pPr>
          </w:p>
        </w:tc>
        <w:tc>
          <w:tcPr>
            <w:tcW w:w="1900" w:type="dxa"/>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项目负责人</w:t>
            </w:r>
          </w:p>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en-US"/>
              </w:rPr>
              <w:t>分）</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项目负责人具有高级技术职称的得</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分；中级技术职称得</w:t>
            </w:r>
            <w:r>
              <w:rPr>
                <w:rFonts w:hint="eastAsia" w:ascii="宋体" w:hAnsi="宋体" w:eastAsia="宋体" w:cs="宋体"/>
                <w:sz w:val="24"/>
                <w:szCs w:val="24"/>
                <w:lang w:val="en-US" w:eastAsia="zh-CN"/>
              </w:rPr>
              <w:t>3分，其他不得分。</w:t>
            </w:r>
            <w:r>
              <w:rPr>
                <w:rFonts w:hint="eastAsia" w:ascii="宋体" w:hAnsi="宋体" w:eastAsia="宋体" w:cs="宋体"/>
                <w:sz w:val="24"/>
                <w:szCs w:val="24"/>
                <w:lang w:eastAsia="zh-CN"/>
              </w:rPr>
              <w:t>（须提供近三个月参保证明，离退休人员提供退休证明或劳动合同）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7" w:hRule="atLeast"/>
        </w:trPr>
        <w:tc>
          <w:tcPr>
            <w:tcW w:w="1300" w:type="dxa"/>
            <w:vMerge w:val="continue"/>
            <w:vAlign w:val="center"/>
          </w:tcPr>
          <w:p>
            <w:pPr>
              <w:pStyle w:val="12"/>
              <w:spacing w:line="480" w:lineRule="exact"/>
              <w:ind w:left="5" w:right="-15"/>
              <w:jc w:val="center"/>
              <w:rPr>
                <w:rFonts w:hint="eastAsia" w:ascii="宋体" w:hAnsi="宋体" w:eastAsia="宋体" w:cs="宋体"/>
                <w:sz w:val="24"/>
                <w:szCs w:val="24"/>
                <w:lang w:eastAsia="zh-CN"/>
              </w:rPr>
            </w:pPr>
          </w:p>
        </w:tc>
        <w:tc>
          <w:tcPr>
            <w:tcW w:w="1900" w:type="dxa"/>
            <w:tcBorders>
              <w:top w:val="single" w:color="000000" w:sz="6"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认证证书（</w:t>
            </w:r>
            <w:r>
              <w:rPr>
                <w:rFonts w:hint="eastAsia" w:ascii="宋体" w:hAnsi="宋体" w:eastAsia="宋体" w:cs="宋体"/>
                <w:sz w:val="24"/>
                <w:szCs w:val="24"/>
                <w:lang w:val="en-US" w:eastAsia="zh-CN"/>
              </w:rPr>
              <w:t>6</w:t>
            </w:r>
            <w:r>
              <w:rPr>
                <w:rFonts w:hint="eastAsia" w:ascii="宋体" w:hAnsi="宋体" w:eastAsia="宋体" w:cs="宋体"/>
                <w:sz w:val="24"/>
                <w:szCs w:val="24"/>
                <w:lang w:eastAsia="en-US"/>
              </w:rPr>
              <w:t>分）</w:t>
            </w:r>
          </w:p>
        </w:tc>
        <w:tc>
          <w:tcPr>
            <w:tcW w:w="7578" w:type="dxa"/>
            <w:tcBorders>
              <w:top w:val="single" w:color="000000" w:sz="6" w:space="0"/>
            </w:tcBorders>
          </w:tcPr>
          <w:p>
            <w:pPr>
              <w:pStyle w:val="12"/>
              <w:spacing w:line="480" w:lineRule="exact"/>
              <w:ind w:left="5" w:right="-15"/>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投标公司具有质量管理体系认证、职业健康安全管理体系认证、环境管理体系认证证书， 每提供一项得 </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 xml:space="preserve"> 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7" w:hRule="atLeast"/>
        </w:trPr>
        <w:tc>
          <w:tcPr>
            <w:tcW w:w="1300" w:type="dxa"/>
            <w:vMerge w:val="restart"/>
            <w:tcBorders>
              <w:top w:val="single" w:color="auto" w:sz="4" w:space="0"/>
            </w:tcBorders>
            <w:vAlign w:val="center"/>
          </w:tcPr>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技术部分</w:t>
            </w:r>
          </w:p>
          <w:p>
            <w:pPr>
              <w:pStyle w:val="12"/>
              <w:spacing w:line="480" w:lineRule="exact"/>
              <w:ind w:left="5" w:right="-15"/>
              <w:jc w:val="center"/>
              <w:rPr>
                <w:rFonts w:hint="eastAsia" w:ascii="宋体" w:hAnsi="宋体" w:eastAsia="宋体" w:cs="宋体"/>
                <w:sz w:val="24"/>
                <w:szCs w:val="24"/>
                <w:lang w:eastAsia="en-US"/>
              </w:rPr>
            </w:pPr>
            <w:r>
              <w:rPr>
                <w:rFonts w:hint="eastAsia" w:ascii="宋体" w:hAnsi="宋体" w:eastAsia="宋体" w:cs="宋体"/>
                <w:sz w:val="24"/>
                <w:szCs w:val="24"/>
                <w:lang w:eastAsia="en-US"/>
              </w:rPr>
              <w:t>（</w:t>
            </w:r>
            <w:r>
              <w:rPr>
                <w:rFonts w:hint="eastAsia" w:ascii="宋体" w:hAnsi="宋体" w:eastAsia="宋体" w:cs="宋体"/>
                <w:sz w:val="24"/>
                <w:szCs w:val="24"/>
                <w:lang w:val="en-US" w:eastAsia="zh-CN"/>
              </w:rPr>
              <w:t>29</w:t>
            </w:r>
            <w:r>
              <w:rPr>
                <w:rFonts w:hint="eastAsia" w:ascii="宋体" w:hAnsi="宋体" w:eastAsia="宋体" w:cs="宋体"/>
                <w:sz w:val="24"/>
                <w:szCs w:val="24"/>
                <w:lang w:eastAsia="en-US"/>
              </w:rPr>
              <w:t>分）</w:t>
            </w:r>
          </w:p>
        </w:tc>
        <w:tc>
          <w:tcPr>
            <w:tcW w:w="1900" w:type="dxa"/>
            <w:tcBorders>
              <w:top w:val="single" w:color="000000" w:sz="6" w:space="0"/>
            </w:tcBorders>
            <w:vAlign w:val="center"/>
          </w:tcPr>
          <w:p>
            <w:pPr>
              <w:pStyle w:val="12"/>
              <w:spacing w:line="480" w:lineRule="exact"/>
              <w:ind w:left="5" w:right="-15"/>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配套的人力资源情况（10分）</w:t>
            </w:r>
          </w:p>
        </w:tc>
        <w:tc>
          <w:tcPr>
            <w:tcW w:w="7578" w:type="dxa"/>
            <w:tcBorders>
              <w:top w:val="single" w:color="000000" w:sz="6" w:space="0"/>
            </w:tcBorders>
            <w:vAlign w:val="top"/>
          </w:tcPr>
          <w:p>
            <w:pPr>
              <w:pStyle w:val="12"/>
              <w:spacing w:line="480" w:lineRule="exact"/>
              <w:ind w:left="5" w:right="-15"/>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投入本工程的项目管理机构能够满足检测任务需要；优得10分，一般得5分，不提供不得分。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7" w:hRule="atLeast"/>
        </w:trPr>
        <w:tc>
          <w:tcPr>
            <w:tcW w:w="1300" w:type="dxa"/>
            <w:vMerge w:val="continue"/>
          </w:tcPr>
          <w:p>
            <w:pPr>
              <w:pStyle w:val="12"/>
              <w:spacing w:line="480" w:lineRule="exact"/>
              <w:ind w:left="5" w:right="-15"/>
              <w:jc w:val="center"/>
              <w:rPr>
                <w:rFonts w:hint="eastAsia" w:ascii="宋体" w:hAnsi="宋体" w:eastAsia="宋体" w:cs="宋体"/>
                <w:sz w:val="24"/>
                <w:szCs w:val="24"/>
                <w:lang w:eastAsia="en-US"/>
              </w:rPr>
            </w:pPr>
          </w:p>
        </w:tc>
        <w:tc>
          <w:tcPr>
            <w:tcW w:w="1900" w:type="dxa"/>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本地化服务能力</w:t>
            </w:r>
          </w:p>
          <w:p>
            <w:pPr>
              <w:pStyle w:val="12"/>
              <w:spacing w:line="480" w:lineRule="exact"/>
              <w:ind w:left="5" w:right="-15"/>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（5分）</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投标人具备本地化服务能力，提供场地产权证明或租赁协议，得5分，不提供不得分。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3" w:hRule="atLeast"/>
        </w:trPr>
        <w:tc>
          <w:tcPr>
            <w:tcW w:w="1300" w:type="dxa"/>
            <w:vMerge w:val="continue"/>
          </w:tcPr>
          <w:p>
            <w:pPr>
              <w:pStyle w:val="12"/>
              <w:spacing w:line="480" w:lineRule="exact"/>
              <w:ind w:left="5" w:right="-15"/>
              <w:jc w:val="center"/>
              <w:rPr>
                <w:rFonts w:hint="eastAsia" w:ascii="宋体" w:hAnsi="宋体" w:eastAsia="宋体" w:cs="宋体"/>
                <w:sz w:val="24"/>
                <w:szCs w:val="24"/>
                <w:lang w:eastAsia="zh-CN"/>
              </w:rPr>
            </w:pPr>
          </w:p>
        </w:tc>
        <w:tc>
          <w:tcPr>
            <w:tcW w:w="1900" w:type="dxa"/>
            <w:tcBorders>
              <w:top w:val="single" w:color="000000" w:sz="6" w:space="0"/>
              <w:bottom w:val="single" w:color="000000" w:sz="6" w:space="0"/>
            </w:tcBorders>
            <w:vAlign w:val="center"/>
          </w:tcPr>
          <w:p>
            <w:pPr>
              <w:pStyle w:val="12"/>
              <w:spacing w:line="480" w:lineRule="exact"/>
              <w:ind w:left="5" w:right="-15"/>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服务承诺</w:t>
            </w:r>
          </w:p>
          <w:p>
            <w:pPr>
              <w:pStyle w:val="12"/>
              <w:spacing w:line="480" w:lineRule="exact"/>
              <w:ind w:left="5" w:right="-15"/>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w:t>
            </w:r>
            <w:r>
              <w:rPr>
                <w:rFonts w:hint="eastAsia" w:ascii="宋体" w:hAnsi="宋体" w:eastAsia="宋体" w:cs="宋体"/>
                <w:sz w:val="24"/>
                <w:szCs w:val="24"/>
                <w:lang w:val="en-US" w:eastAsia="zh-CN"/>
              </w:rPr>
              <w:t>14</w:t>
            </w:r>
            <w:r>
              <w:rPr>
                <w:rFonts w:hint="eastAsia" w:ascii="宋体" w:hAnsi="宋体" w:eastAsia="宋体" w:cs="宋体"/>
                <w:sz w:val="24"/>
                <w:szCs w:val="24"/>
                <w:lang w:val="en-US" w:eastAsia="en-US"/>
              </w:rPr>
              <w:t>分）</w:t>
            </w:r>
          </w:p>
        </w:tc>
        <w:tc>
          <w:tcPr>
            <w:tcW w:w="7578" w:type="dxa"/>
            <w:tcBorders>
              <w:top w:val="single" w:color="000000" w:sz="6" w:space="0"/>
              <w:bottom w:val="single" w:color="000000" w:sz="6" w:space="0"/>
            </w:tcBorders>
          </w:tcPr>
          <w:p>
            <w:pPr>
              <w:pStyle w:val="12"/>
              <w:spacing w:line="480" w:lineRule="exact"/>
              <w:ind w:left="5" w:right="-1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投标人需提供服务承诺及服务保障措施，内容充实详细、完整、可操作性强的，得14分；内容比较详细、比较完整的，得8分；</w:t>
            </w:r>
          </w:p>
          <w:p>
            <w:pPr>
              <w:pStyle w:val="12"/>
              <w:spacing w:line="480" w:lineRule="exact"/>
              <w:ind w:left="5" w:right="-1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内容完整性一般，得5分；内容完整性较差，得2分；无承诺及服务保障措施内容不得分。</w:t>
            </w:r>
          </w:p>
        </w:tc>
      </w:tr>
    </w:tbl>
    <w:p>
      <w:pPr>
        <w:rPr>
          <w:rFonts w:ascii="仿宋_GB2312" w:eastAsia="仿宋_GB2312"/>
          <w:sz w:val="30"/>
          <w:szCs w:val="30"/>
        </w:rPr>
      </w:pPr>
    </w:p>
    <w:p>
      <w:pPr>
        <w:spacing w:line="370" w:lineRule="exact"/>
        <w:jc w:val="center"/>
      </w:pPr>
    </w:p>
    <w:p>
      <w:pPr>
        <w:numPr>
          <w:ilvl w:val="0"/>
          <w:numId w:val="0"/>
        </w:numPr>
        <w:bidi w:val="0"/>
        <w:ind w:firstLine="5760" w:firstLineChars="1800"/>
        <w:jc w:val="left"/>
        <w:rPr>
          <w:rFonts w:hint="eastAsia" w:ascii="宋体" w:hAnsi="宋体" w:eastAsia="宋体" w:cs="宋体"/>
          <w:kern w:val="0"/>
          <w:sz w:val="32"/>
          <w:szCs w:val="32"/>
        </w:rPr>
      </w:pPr>
      <w:r>
        <w:rPr>
          <w:rFonts w:hint="eastAsia" w:ascii="宋体" w:hAnsi="宋体" w:eastAsia="宋体" w:cs="宋体"/>
          <w:kern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auto"/>
    <w:pitch w:val="default"/>
    <w:sig w:usb0="A00002EF" w:usb1="4000004B" w:usb2="00000000" w:usb3="00000000" w:csb0="2000019F" w:csb1="00000000"/>
  </w:font>
  <w:font w:name="Sim Sun">
    <w:altName w:val="宋体"/>
    <w:panose1 w:val="00000000000000000000"/>
    <w:charset w:val="86"/>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EA836C"/>
    <w:multiLevelType w:val="singleLevel"/>
    <w:tmpl w:val="E1EA836C"/>
    <w:lvl w:ilvl="0" w:tentative="0">
      <w:start w:val="3"/>
      <w:numFmt w:val="chineseCounting"/>
      <w:suff w:val="nothing"/>
      <w:lvlText w:val="（%1）"/>
      <w:lvlJc w:val="left"/>
      <w:rPr>
        <w:rFonts w:hint="eastAsia"/>
      </w:rPr>
    </w:lvl>
  </w:abstractNum>
  <w:abstractNum w:abstractNumId="1">
    <w:nsid w:val="07871CF0"/>
    <w:multiLevelType w:val="singleLevel"/>
    <w:tmpl w:val="07871CF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EB5"/>
    <w:rsid w:val="0004455C"/>
    <w:rsid w:val="0004512E"/>
    <w:rsid w:val="000458D0"/>
    <w:rsid w:val="0006070B"/>
    <w:rsid w:val="00064544"/>
    <w:rsid w:val="00094EAF"/>
    <w:rsid w:val="000A0DEA"/>
    <w:rsid w:val="000A5549"/>
    <w:rsid w:val="000D50F8"/>
    <w:rsid w:val="000E11B4"/>
    <w:rsid w:val="001313EF"/>
    <w:rsid w:val="001374DD"/>
    <w:rsid w:val="001917CE"/>
    <w:rsid w:val="00217F38"/>
    <w:rsid w:val="00285B4B"/>
    <w:rsid w:val="002A09B7"/>
    <w:rsid w:val="002C13AF"/>
    <w:rsid w:val="0030013D"/>
    <w:rsid w:val="00302E85"/>
    <w:rsid w:val="003114F7"/>
    <w:rsid w:val="00371B7C"/>
    <w:rsid w:val="00377A34"/>
    <w:rsid w:val="00387C89"/>
    <w:rsid w:val="00395D1A"/>
    <w:rsid w:val="003B532F"/>
    <w:rsid w:val="003E7614"/>
    <w:rsid w:val="004046D6"/>
    <w:rsid w:val="00461959"/>
    <w:rsid w:val="00464B1A"/>
    <w:rsid w:val="0047274C"/>
    <w:rsid w:val="00490A46"/>
    <w:rsid w:val="00493DCB"/>
    <w:rsid w:val="004D31CB"/>
    <w:rsid w:val="004E71CC"/>
    <w:rsid w:val="005413B2"/>
    <w:rsid w:val="005A653E"/>
    <w:rsid w:val="005D01AE"/>
    <w:rsid w:val="005D3913"/>
    <w:rsid w:val="00603AEC"/>
    <w:rsid w:val="00621B1E"/>
    <w:rsid w:val="006A517A"/>
    <w:rsid w:val="006D4803"/>
    <w:rsid w:val="006F65B9"/>
    <w:rsid w:val="00721C5E"/>
    <w:rsid w:val="007243C5"/>
    <w:rsid w:val="00730597"/>
    <w:rsid w:val="00762817"/>
    <w:rsid w:val="007650F4"/>
    <w:rsid w:val="007A5B05"/>
    <w:rsid w:val="007C2434"/>
    <w:rsid w:val="008458C0"/>
    <w:rsid w:val="00850E5B"/>
    <w:rsid w:val="00893A3D"/>
    <w:rsid w:val="008B40CB"/>
    <w:rsid w:val="008C2EB5"/>
    <w:rsid w:val="00905D61"/>
    <w:rsid w:val="00920BB3"/>
    <w:rsid w:val="00955CAF"/>
    <w:rsid w:val="009A0DAA"/>
    <w:rsid w:val="00A0168B"/>
    <w:rsid w:val="00A077EF"/>
    <w:rsid w:val="00A079E2"/>
    <w:rsid w:val="00A26A3B"/>
    <w:rsid w:val="00A26E48"/>
    <w:rsid w:val="00A90608"/>
    <w:rsid w:val="00A93EF6"/>
    <w:rsid w:val="00A974BA"/>
    <w:rsid w:val="00AA2336"/>
    <w:rsid w:val="00AA734E"/>
    <w:rsid w:val="00AE5A65"/>
    <w:rsid w:val="00B127AE"/>
    <w:rsid w:val="00B575DF"/>
    <w:rsid w:val="00B87A18"/>
    <w:rsid w:val="00BB66BC"/>
    <w:rsid w:val="00BB68BC"/>
    <w:rsid w:val="00BD26D0"/>
    <w:rsid w:val="00C734BC"/>
    <w:rsid w:val="00C77C7A"/>
    <w:rsid w:val="00C850EC"/>
    <w:rsid w:val="00C9490A"/>
    <w:rsid w:val="00CB3419"/>
    <w:rsid w:val="00CE10AE"/>
    <w:rsid w:val="00D04A2D"/>
    <w:rsid w:val="00D35341"/>
    <w:rsid w:val="00D8202F"/>
    <w:rsid w:val="00D903E8"/>
    <w:rsid w:val="00DA6646"/>
    <w:rsid w:val="00DD5958"/>
    <w:rsid w:val="00E7146E"/>
    <w:rsid w:val="00E92ECB"/>
    <w:rsid w:val="00EF76C9"/>
    <w:rsid w:val="00F4072A"/>
    <w:rsid w:val="00F537E7"/>
    <w:rsid w:val="00F83BF0"/>
    <w:rsid w:val="00FB23EF"/>
    <w:rsid w:val="00FF0658"/>
    <w:rsid w:val="06052774"/>
    <w:rsid w:val="08700290"/>
    <w:rsid w:val="0A276F59"/>
    <w:rsid w:val="0BA81D23"/>
    <w:rsid w:val="1CC05B87"/>
    <w:rsid w:val="1F42609E"/>
    <w:rsid w:val="260F5E43"/>
    <w:rsid w:val="26212CFD"/>
    <w:rsid w:val="30BD4DE1"/>
    <w:rsid w:val="318904EA"/>
    <w:rsid w:val="38EB4BED"/>
    <w:rsid w:val="397C5E1E"/>
    <w:rsid w:val="3D2A74E9"/>
    <w:rsid w:val="46061E40"/>
    <w:rsid w:val="50624DA1"/>
    <w:rsid w:val="58153522"/>
    <w:rsid w:val="5C5270A4"/>
    <w:rsid w:val="5D9E466C"/>
    <w:rsid w:val="6408131E"/>
    <w:rsid w:val="66ED659C"/>
    <w:rsid w:val="6ADB1369"/>
    <w:rsid w:val="74A01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Normal Indent"/>
    <w:basedOn w:val="1"/>
    <w:qFormat/>
    <w:uiPriority w:val="99"/>
    <w:pPr>
      <w:ind w:firstLine="420"/>
    </w:pPr>
    <w:rPr>
      <w:szCs w:val="20"/>
    </w:rPr>
  </w:style>
  <w:style w:type="paragraph" w:styleId="4">
    <w:name w:val="Plain Text"/>
    <w:basedOn w:val="1"/>
    <w:unhideWhenUsed/>
    <w:qFormat/>
    <w:uiPriority w:val="99"/>
    <w:rPr>
      <w:rFonts w:ascii="宋体" w:hAnsi="Courier New" w:cs="Courier New"/>
      <w:szCs w:val="21"/>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Sim Sun" w:hAnsi="Times New Roman" w:eastAsia="Sim Sun" w:cs="Times New Roman"/>
      <w:color w:val="000000"/>
      <w:sz w:val="24"/>
      <w:szCs w:val="22"/>
      <w:lang w:val="en-US" w:eastAsia="zh-CN" w:bidi="ar-SA"/>
    </w:rPr>
  </w:style>
  <w:style w:type="character" w:customStyle="1" w:styleId="10">
    <w:name w:val="页眉 Char"/>
    <w:basedOn w:val="7"/>
    <w:link w:val="6"/>
    <w:qFormat/>
    <w:uiPriority w:val="99"/>
    <w:rPr>
      <w:sz w:val="18"/>
      <w:szCs w:val="18"/>
    </w:rPr>
  </w:style>
  <w:style w:type="character" w:customStyle="1" w:styleId="11">
    <w:name w:val="页脚 Char"/>
    <w:basedOn w:val="7"/>
    <w:link w:val="5"/>
    <w:qFormat/>
    <w:uiPriority w:val="99"/>
    <w:rPr>
      <w:sz w:val="18"/>
      <w:szCs w:val="18"/>
    </w:rPr>
  </w:style>
  <w:style w:type="paragraph" w:customStyle="1" w:styleId="12">
    <w:name w:val="Table Paragraph"/>
    <w:basedOn w:val="1"/>
    <w:qFormat/>
    <w:uiPriority w:val="0"/>
    <w:pPr>
      <w:autoSpaceDE w:val="0"/>
      <w:autoSpaceDN w:val="0"/>
      <w:jc w:val="left"/>
    </w:pPr>
    <w:rPr>
      <w:rFonts w:ascii="宋体" w:hAnsi="宋体" w:cs="宋体"/>
      <w:kern w:val="0"/>
      <w:sz w:val="22"/>
      <w:szCs w:val="22"/>
      <w:lang w:val="zh-CN" w:bidi="zh-CN"/>
    </w:rPr>
  </w:style>
  <w:style w:type="table" w:customStyle="1" w:styleId="13">
    <w:name w:val="Table Normal"/>
    <w:semiHidden/>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660</Words>
  <Characters>673</Characters>
  <Lines>2</Lines>
  <Paragraphs>1</Paragraphs>
  <TotalTime>17</TotalTime>
  <ScaleCrop>false</ScaleCrop>
  <LinksUpToDate>false</LinksUpToDate>
  <CharactersWithSpaces>713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2019-05-16T01:05:00Z</dcterms:created>
  <dc:creator>China</dc:creator>
  <cp:lastModifiedBy>Administrator</cp:lastModifiedBy>
  <cp:lastPrinted>2026-06-15T03:03:00Z</cp:lastPrinted>
  <dcterms:modified xsi:type="dcterms:W3CDTF">2026-06-24T08:56:47Z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eyJoZGlkIjoiYzBiY2U3MTdlNGYxMWUxMzMzZTM0YzhhN2I1OTlhMDgiLCJ1c2VySWQiOiIzNDYwMzU1MzYifQ==</vt:lpwstr>
  </property>
  <property fmtid="{D5CDD505-2E9C-101B-9397-08002B2CF9AE}" pid="4" name="ICV">
    <vt:lpwstr>CD47F2EBB6BE437BB199A408E3A3E3A9_13</vt:lpwstr>
  </property>
</Properties>
</file>