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甘肃省中医院大教梁门诊</w:t>
      </w:r>
      <w:r>
        <w:rPr>
          <w:rFonts w:hint="eastAsia" w:ascii="宋体" w:hAnsi="宋体" w:eastAsia="宋体" w:cs="宋体"/>
          <w:b/>
          <w:bCs/>
          <w:sz w:val="32"/>
          <w:szCs w:val="32"/>
          <w:lang w:val="en-US" w:eastAsia="zh-CN"/>
        </w:rPr>
        <w:t>10M</w:t>
      </w:r>
      <w:r>
        <w:rPr>
          <w:rFonts w:hint="eastAsia" w:ascii="宋体" w:hAnsi="宋体" w:eastAsia="宋体" w:cs="宋体"/>
          <w:b/>
          <w:bCs/>
          <w:sz w:val="32"/>
          <w:szCs w:val="32"/>
        </w:rPr>
        <w:t xml:space="preserve"> 数据专线</w:t>
      </w:r>
      <w:r>
        <w:rPr>
          <w:rFonts w:hint="eastAsia" w:ascii="宋体" w:hAnsi="宋体" w:eastAsia="宋体" w:cs="宋体"/>
          <w:b/>
          <w:bCs/>
          <w:sz w:val="32"/>
          <w:szCs w:val="32"/>
          <w:lang w:eastAsia="zh-CN"/>
        </w:rPr>
        <w:t>项目</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w:t>技术参数</w:t>
      </w:r>
      <w:r>
        <w:rPr>
          <w:rFonts w:hint="eastAsia" w:ascii="宋体" w:hAnsi="宋体" w:eastAsia="宋体" w:cs="宋体"/>
          <w:b/>
          <w:bCs/>
          <w:sz w:val="32"/>
          <w:szCs w:val="32"/>
          <w:lang w:eastAsia="zh-CN"/>
        </w:rPr>
        <w:t>及评分办法</w:t>
      </w:r>
    </w:p>
    <w:p>
      <w:pPr>
        <w:jc w:val="center"/>
        <w:rPr>
          <w:rFonts w:hint="eastAsia" w:ascii="宋体" w:hAnsi="宋体" w:eastAsia="宋体" w:cs="宋体"/>
          <w:b/>
          <w:bCs/>
          <w:sz w:val="32"/>
          <w:szCs w:val="32"/>
          <w:lang w:eastAsia="zh-CN"/>
        </w:rPr>
      </w:pPr>
    </w:p>
    <w:p>
      <w:pPr>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一、技术参数</w:t>
      </w:r>
    </w:p>
    <w:tbl>
      <w:tblPr>
        <w:tblStyle w:val="9"/>
        <w:tblW w:w="10620"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45"/>
        <w:gridCol w:w="8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814" w:type="dxa"/>
            <w:shd w:val="clear" w:color="auto" w:fill="auto"/>
            <w:noWrap/>
            <w:vAlign w:val="center"/>
          </w:tcPr>
          <w:p>
            <w:pPr>
              <w:widowControl/>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1745" w:type="dxa"/>
            <w:shd w:val="clear" w:color="auto" w:fill="auto"/>
            <w:noWrap/>
            <w:vAlign w:val="center"/>
          </w:tcPr>
          <w:p>
            <w:pPr>
              <w:widowControl/>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服务名称</w:t>
            </w:r>
          </w:p>
        </w:tc>
        <w:tc>
          <w:tcPr>
            <w:tcW w:w="8061" w:type="dxa"/>
            <w:shd w:val="clear" w:color="auto" w:fill="auto"/>
            <w:noWrap/>
            <w:vAlign w:val="center"/>
          </w:tcPr>
          <w:p>
            <w:pPr>
              <w:widowControl/>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主要参数要求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0" w:hRule="atLeast"/>
        </w:trPr>
        <w:tc>
          <w:tcPr>
            <w:tcW w:w="814"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45" w:type="dxa"/>
            <w:shd w:val="clear" w:color="auto" w:fill="auto"/>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甘肃省中医院省委门诊</w:t>
            </w:r>
            <w:r>
              <w:rPr>
                <w:rFonts w:hint="eastAsia" w:ascii="宋体" w:hAnsi="宋体" w:eastAsia="宋体" w:cs="宋体"/>
                <w:color w:val="000000"/>
                <w:kern w:val="0"/>
                <w:sz w:val="24"/>
                <w:szCs w:val="24"/>
                <w:lang w:val="en-US" w:eastAsia="zh-CN"/>
              </w:rPr>
              <w:t>到甘肃省中医院专用线路</w:t>
            </w:r>
            <w:r>
              <w:rPr>
                <w:rFonts w:hint="eastAsia" w:ascii="宋体" w:hAnsi="宋体" w:eastAsia="宋体" w:cs="宋体"/>
                <w:color w:val="000000"/>
                <w:kern w:val="0"/>
                <w:sz w:val="24"/>
                <w:szCs w:val="24"/>
              </w:rPr>
              <w:t>（10M）</w:t>
            </w:r>
          </w:p>
        </w:tc>
        <w:tc>
          <w:tcPr>
            <w:tcW w:w="8061" w:type="dxa"/>
            <w:shd w:val="clear" w:color="auto" w:fill="auto"/>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10M 独享带宽、网络带宽速率上下行对称；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传输介质采用光纤；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传输电路技术指标:传输电路误码率≤1.0 × 10E-7;电路故障倒换时间≤50ms；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电路可用率：单条端到端电路故障率≤1 次/4 个月；所有端 到端电路累计故障率≤4 次/1 个月；单条端到端电路可用率≥99.9%；</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网络平均丢包率：≤0.1%；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 网络最大延迟：20ms；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7.7*24 小时网络服务。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3" w:hRule="atLeast"/>
        </w:trPr>
        <w:tc>
          <w:tcPr>
            <w:tcW w:w="814"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45" w:type="dxa"/>
            <w:shd w:val="clear" w:color="auto" w:fill="auto"/>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技术要求</w:t>
            </w:r>
          </w:p>
        </w:tc>
        <w:tc>
          <w:tcPr>
            <w:tcW w:w="8061" w:type="dxa"/>
            <w:shd w:val="clear" w:color="auto" w:fill="auto"/>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.供应商应按相关服务内容提供完整的服务方案，方案满足先进性、合理性、可行性、可扩展性等。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.完整的售后服务保障方案，包含服务内容、服务方式、网络故障率、响应时间、应急保障等。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.整个网络应当保证 7x24 小时稳定可靠地运行。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7" w:hRule="atLeast"/>
        </w:trPr>
        <w:tc>
          <w:tcPr>
            <w:tcW w:w="814"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45"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售后服务</w:t>
            </w:r>
          </w:p>
        </w:tc>
        <w:tc>
          <w:tcPr>
            <w:tcW w:w="8061" w:type="dxa"/>
            <w:shd w:val="clear" w:color="auto" w:fill="auto"/>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1.要求在兰州市有长驻维修技术支持人员。供应商应向采购人提供一份所在地业务和技术联系人员名单，该名单人员原则上一 年内保持不变， 如因特殊原因确需变动，应在人员调整后2日内以书面形式通知采购人。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2.要求向采购人和直接使用人提供所需产品的使用要求等。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3.安装过程中积极配合采购人和维修工程师共同参与产品的验收、安装。主动向采购人有关技术人员提供关于正确使用指导。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4.投标单位对所供产品保质期应按承诺执行，质保期内，免费售后服务； 无法修复的设备，需替换同样设备供客户使用，直至故障设备修复。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5.网络服务实行终身维修，除不可抗力的因素外，供应商在接到用户申告后， 应在承诺时间内使恢复正常。故障的开始时间以采购人申告供应商大客户故障受理台（或受理电话）记载的时间为准，故障消除时间以供应商提供并经采购人确认的时间为准。具体时限要求如下：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电话响应时限：≤15分钟；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到达现场时限：≤1小时；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设备故障恢复时限：≤4小时；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全网重大故障排除时限：≤5小时。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.需要上门安装、调试、技术培训和提供设备使用说明书等相关技术资料。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供应商应有专业的维护部门与维护队伍，对采购人通讯线路有网管支持提供24小时监控，并指定专人负责上门受理调试日常维护及平时协助采购人维护检测等工作，全程跟踪故障的响应、处理和解决，并在故障申告后3个工作日内以书面形式反馈故障申告用户。</w:t>
            </w:r>
          </w:p>
        </w:tc>
      </w:tr>
    </w:tbl>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rPr>
          <w:rFonts w:hint="eastAsia" w:ascii="宋体" w:hAnsi="宋体" w:eastAsia="宋体" w:cs="宋体"/>
          <w:b/>
          <w:bCs/>
          <w:sz w:val="28"/>
          <w:szCs w:val="28"/>
        </w:rPr>
      </w:pPr>
      <w:r>
        <w:rPr>
          <w:rFonts w:hint="eastAsia" w:ascii="宋体" w:hAnsi="宋体" w:eastAsia="宋体" w:cs="宋体"/>
          <w:b/>
          <w:bCs/>
          <w:sz w:val="28"/>
          <w:szCs w:val="28"/>
        </w:rPr>
        <w:t>二、评分办法</w:t>
      </w:r>
    </w:p>
    <w:tbl>
      <w:tblPr>
        <w:tblStyle w:val="14"/>
        <w:tblW w:w="10447" w:type="dxa"/>
        <w:jc w:val="center"/>
        <w:tblInd w:w="-1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666"/>
        <w:gridCol w:w="7152"/>
        <w:gridCol w:w="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0" w:hRule="atLeast"/>
          <w:jc w:val="center"/>
        </w:trPr>
        <w:tc>
          <w:tcPr>
            <w:tcW w:w="10447" w:type="dxa"/>
            <w:gridSpan w:val="4"/>
            <w:vAlign w:val="center"/>
          </w:tcPr>
          <w:p>
            <w:pPr>
              <w:spacing w:line="360" w:lineRule="auto"/>
              <w:jc w:val="center"/>
              <w:rPr>
                <w:rFonts w:hint="eastAsia" w:ascii="宋体" w:hAnsi="宋体" w:eastAsia="宋体" w:cs="宋体"/>
                <w:kern w:val="0"/>
                <w:sz w:val="20"/>
                <w:szCs w:val="21"/>
              </w:rPr>
            </w:pPr>
            <w:r>
              <w:rPr>
                <w:rFonts w:hint="eastAsia" w:ascii="宋体" w:hAnsi="宋体" w:eastAsia="宋体" w:cs="宋体"/>
                <w:spacing w:val="-2"/>
                <w:kern w:val="0"/>
                <w:sz w:val="28"/>
                <w:szCs w:val="28"/>
                <w14:textOutline w14:w="3835" w14:cap="flat" w14:cmpd="sng" w14:algn="ctr">
                  <w14:solidFill>
                    <w14:srgbClr w14:val="000000"/>
                  </w14:solidFill>
                  <w14:prstDash w14:val="solid"/>
                  <w14:miter w14:val="0"/>
                </w14:textOutline>
              </w:rPr>
              <w:t>（一）价格评分（满分</w:t>
            </w:r>
            <w:r>
              <w:rPr>
                <w:rFonts w:hint="eastAsia" w:ascii="宋体" w:hAnsi="宋体" w:eastAsia="宋体" w:cs="宋体"/>
                <w:spacing w:val="-39"/>
                <w:kern w:val="0"/>
                <w:sz w:val="28"/>
                <w:szCs w:val="28"/>
              </w:rPr>
              <w:t xml:space="preserve"> </w:t>
            </w:r>
            <w:r>
              <w:rPr>
                <w:rFonts w:hint="eastAsia" w:ascii="宋体" w:hAnsi="宋体" w:eastAsia="宋体" w:cs="宋体"/>
                <w:spacing w:val="-2"/>
                <w:kern w:val="0"/>
                <w:sz w:val="28"/>
                <w:szCs w:val="28"/>
                <w:lang w:val="en-US" w:eastAsia="zh-CN"/>
                <w14:textOutline w14:w="3835" w14:cap="flat" w14:cmpd="sng" w14:algn="ctr">
                  <w14:solidFill>
                    <w14:srgbClr w14:val="000000"/>
                  </w14:solidFill>
                  <w14:prstDash w14:val="solid"/>
                  <w14:miter w14:val="0"/>
                </w14:textOutline>
              </w:rPr>
              <w:t>1</w:t>
            </w:r>
            <w:r>
              <w:rPr>
                <w:rFonts w:hint="eastAsia" w:ascii="宋体" w:hAnsi="宋体" w:eastAsia="宋体" w:cs="宋体"/>
                <w:spacing w:val="-2"/>
                <w:kern w:val="0"/>
                <w:sz w:val="28"/>
                <w:szCs w:val="28"/>
                <w14:textOutline w14:w="3835" w14:cap="flat" w14:cmpd="sng" w14:algn="ctr">
                  <w14:solidFill>
                    <w14:srgbClr w14:val="000000"/>
                  </w14:solidFill>
                  <w14:prstDash w14:val="solid"/>
                  <w14:miter w14:val="0"/>
                </w14:textOutline>
              </w:rPr>
              <w:t>0</w:t>
            </w:r>
            <w:r>
              <w:rPr>
                <w:rFonts w:hint="eastAsia" w:ascii="宋体" w:hAnsi="宋体" w:eastAsia="宋体" w:cs="宋体"/>
                <w:spacing w:val="-42"/>
                <w:kern w:val="0"/>
                <w:sz w:val="28"/>
                <w:szCs w:val="28"/>
              </w:rPr>
              <w:t xml:space="preserve"> </w:t>
            </w:r>
            <w:r>
              <w:rPr>
                <w:rFonts w:hint="eastAsia" w:ascii="宋体" w:hAnsi="宋体" w:eastAsia="宋体" w:cs="宋体"/>
                <w:spacing w:val="-2"/>
                <w:kern w:val="0"/>
                <w:sz w:val="28"/>
                <w:szCs w:val="28"/>
                <w14:textOutline w14:w="3835" w14:cap="flat" w14:cmpd="sng" w14:algn="ctr">
                  <w14:solidFill>
                    <w14:srgbClr w14:val="000000"/>
                  </w14:solidFill>
                  <w14:prstDash w14:val="solid"/>
                  <w14:miter w14:val="0"/>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4" w:hRule="atLeast"/>
          <w:jc w:val="center"/>
        </w:trPr>
        <w:tc>
          <w:tcPr>
            <w:tcW w:w="814"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2"/>
                <w:kern w:val="0"/>
                <w:sz w:val="24"/>
                <w:szCs w:val="24"/>
              </w:rPr>
              <w:t>序号</w:t>
            </w:r>
          </w:p>
        </w:tc>
        <w:tc>
          <w:tcPr>
            <w:tcW w:w="1666"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评审内容</w:t>
            </w:r>
          </w:p>
        </w:tc>
        <w:tc>
          <w:tcPr>
            <w:tcW w:w="7152"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评分标准</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3"/>
                <w:kern w:val="0"/>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65" w:hRule="atLeast"/>
          <w:jc w:val="center"/>
        </w:trPr>
        <w:tc>
          <w:tcPr>
            <w:tcW w:w="81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666"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价格部分</w:t>
            </w:r>
          </w:p>
          <w:p>
            <w:pPr>
              <w:spacing w:line="360" w:lineRule="auto"/>
              <w:jc w:val="center"/>
              <w:rPr>
                <w:rFonts w:hint="eastAsia" w:ascii="宋体" w:hAnsi="宋体" w:eastAsia="宋体" w:cs="宋体"/>
                <w:sz w:val="24"/>
                <w:szCs w:val="24"/>
                <w:lang w:val="en-US" w:eastAsia="zh-CN"/>
              </w:rPr>
            </w:pPr>
          </w:p>
        </w:tc>
        <w:tc>
          <w:tcPr>
            <w:tcW w:w="7152" w:type="dxa"/>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采用低价优先法计算，即满足招标文件要求且投标价格最低的投标报价为评标基准价，其价格分为满分。投标报价得分＝（评标基准价/投标报价）×10</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3"/>
                <w:kern w:val="0"/>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6" w:hRule="atLeast"/>
          <w:jc w:val="center"/>
        </w:trPr>
        <w:tc>
          <w:tcPr>
            <w:tcW w:w="10447" w:type="dxa"/>
            <w:gridSpan w:val="4"/>
            <w:vAlign w:val="center"/>
          </w:tcPr>
          <w:p>
            <w:pPr>
              <w:spacing w:line="360" w:lineRule="auto"/>
              <w:jc w:val="center"/>
              <w:rPr>
                <w:rFonts w:hint="eastAsia" w:ascii="宋体" w:hAnsi="宋体" w:eastAsia="宋体" w:cs="宋体"/>
                <w:kern w:val="0"/>
                <w:sz w:val="20"/>
                <w:szCs w:val="21"/>
              </w:rPr>
            </w:pPr>
            <w:r>
              <w:rPr>
                <w:rFonts w:hint="eastAsia" w:ascii="宋体" w:hAnsi="宋体" w:eastAsia="宋体" w:cs="宋体"/>
                <w:spacing w:val="-2"/>
                <w:kern w:val="0"/>
                <w:sz w:val="28"/>
                <w:szCs w:val="28"/>
                <w14:textOutline w14:w="3835" w14:cap="flat" w14:cmpd="sng" w14:algn="ctr">
                  <w14:solidFill>
                    <w14:srgbClr w14:val="000000"/>
                  </w14:solidFill>
                  <w14:prstDash w14:val="solid"/>
                  <w14:miter w14:val="0"/>
                </w14:textOutline>
              </w:rPr>
              <w:t>（二）商务评分（满分41分）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6" w:hRule="atLeast"/>
          <w:jc w:val="center"/>
        </w:trPr>
        <w:tc>
          <w:tcPr>
            <w:tcW w:w="814"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2"/>
                <w:kern w:val="0"/>
                <w:sz w:val="24"/>
                <w:szCs w:val="24"/>
              </w:rPr>
              <w:t>序号</w:t>
            </w:r>
          </w:p>
        </w:tc>
        <w:tc>
          <w:tcPr>
            <w:tcW w:w="1666"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评审内容</w:t>
            </w:r>
          </w:p>
        </w:tc>
        <w:tc>
          <w:tcPr>
            <w:tcW w:w="7152"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评分标准</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3"/>
                <w:kern w:val="0"/>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6" w:hRule="atLeast"/>
          <w:jc w:val="center"/>
        </w:trPr>
        <w:tc>
          <w:tcPr>
            <w:tcW w:w="814" w:type="dxa"/>
            <w:vMerge w:val="restart"/>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66" w:type="dxa"/>
            <w:vMerge w:val="restart"/>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商务部分</w:t>
            </w:r>
          </w:p>
          <w:p>
            <w:pPr>
              <w:spacing w:line="360" w:lineRule="auto"/>
              <w:jc w:val="center"/>
              <w:rPr>
                <w:rFonts w:hint="eastAsia" w:ascii="宋体" w:hAnsi="宋体" w:eastAsia="宋体" w:cs="宋体"/>
                <w:kern w:val="0"/>
                <w:sz w:val="24"/>
                <w:szCs w:val="24"/>
                <w:lang w:val="en-US" w:eastAsia="zh-CN"/>
              </w:rPr>
            </w:pPr>
          </w:p>
        </w:tc>
        <w:tc>
          <w:tcPr>
            <w:tcW w:w="7152" w:type="dxa"/>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1、管理体系认证：投标人具有有效期内质量管理体系认证证书 、有效期内职业健康安全管理体系认证证书、有效期内信息安全管理体系认证证书、有效期内业务连续性管理体系认证证书，每提供一份得2分，最高得8分。</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72" w:hRule="atLeast"/>
          <w:jc w:val="center"/>
        </w:trPr>
        <w:tc>
          <w:tcPr>
            <w:tcW w:w="814" w:type="dxa"/>
            <w:vMerge w:val="continue"/>
            <w:vAlign w:val="center"/>
          </w:tcPr>
          <w:p>
            <w:pPr>
              <w:spacing w:line="360" w:lineRule="auto"/>
              <w:jc w:val="center"/>
              <w:rPr>
                <w:rFonts w:hint="eastAsia" w:ascii="宋体" w:hAnsi="宋体" w:eastAsia="宋体" w:cs="宋体"/>
                <w:kern w:val="0"/>
                <w:sz w:val="24"/>
                <w:szCs w:val="24"/>
              </w:rPr>
            </w:pPr>
          </w:p>
        </w:tc>
        <w:tc>
          <w:tcPr>
            <w:tcW w:w="1666" w:type="dxa"/>
            <w:vMerge w:val="continue"/>
            <w:vAlign w:val="center"/>
          </w:tcPr>
          <w:p>
            <w:pPr>
              <w:spacing w:line="360" w:lineRule="auto"/>
              <w:jc w:val="center"/>
              <w:rPr>
                <w:rFonts w:hint="eastAsia" w:ascii="宋体" w:hAnsi="宋体" w:eastAsia="宋体" w:cs="宋体"/>
                <w:kern w:val="0"/>
                <w:sz w:val="24"/>
                <w:szCs w:val="24"/>
              </w:rPr>
            </w:pPr>
          </w:p>
        </w:tc>
        <w:tc>
          <w:tcPr>
            <w:tcW w:w="7152" w:type="dxa"/>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2、项目团队：为保障项目实施质量，投标人拟投入本项目团队人员应满足以下条件：</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1）项目经理 1 人，拟派驻的项目经理应同时具有注册信息安全工程师、IT服务工程师、网络工程师中级及以上、通信专业技术人员职业资格（互联网技术专业）中级及以上认证证书，具备 PMP、网络 / 通信项目管理经验≥3 年，缺一项不得分，最高得6分。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2）技术负责人1人，需具备ITIL项目管理认证证书、通信专业技术人员职业资格（中级及以上），具备网络 / 安全相关中级及以上证书、医疗网络服务经验≥2 年</w:t>
            </w:r>
            <w:r>
              <w:rPr>
                <w:rFonts w:hint="eastAsia" w:ascii="宋体" w:hAnsi="宋体" w:eastAsia="宋体" w:cs="宋体"/>
                <w:sz w:val="24"/>
                <w:szCs w:val="24"/>
                <w:lang w:eastAsia="zh-CN"/>
              </w:rPr>
              <w:t>，</w:t>
            </w:r>
            <w:r>
              <w:rPr>
                <w:rFonts w:hint="eastAsia" w:ascii="宋体" w:hAnsi="宋体" w:eastAsia="宋体" w:cs="宋体"/>
                <w:sz w:val="24"/>
                <w:szCs w:val="24"/>
              </w:rPr>
              <w:t>全部提供得3分，缺一项不得分。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3）团队成员3名：需获得ITSS服务工程师认证，团队含网络工程师、安全工程师等，持证且经验≥1 年</w:t>
            </w:r>
            <w:r>
              <w:rPr>
                <w:rFonts w:hint="eastAsia" w:ascii="宋体" w:hAnsi="宋体" w:eastAsia="宋体" w:cs="宋体"/>
                <w:sz w:val="24"/>
                <w:szCs w:val="24"/>
                <w:lang w:eastAsia="zh-CN"/>
              </w:rPr>
              <w:t>，</w:t>
            </w:r>
            <w:r>
              <w:rPr>
                <w:rFonts w:hint="eastAsia" w:ascii="宋体" w:hAnsi="宋体" w:eastAsia="宋体" w:cs="宋体"/>
                <w:sz w:val="24"/>
                <w:szCs w:val="24"/>
              </w:rPr>
              <w:t>每提供一个得 1 分，最多得 3 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提供证书复印件和人员社保缴纳证明材料并加盖投标人公章。</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814" w:type="dxa"/>
            <w:vMerge w:val="continue"/>
            <w:vAlign w:val="center"/>
          </w:tcPr>
          <w:p>
            <w:pPr>
              <w:spacing w:line="360" w:lineRule="auto"/>
              <w:jc w:val="center"/>
              <w:rPr>
                <w:rFonts w:hint="eastAsia" w:ascii="宋体" w:hAnsi="宋体" w:eastAsia="宋体" w:cs="宋体"/>
                <w:kern w:val="0"/>
                <w:sz w:val="24"/>
                <w:szCs w:val="24"/>
              </w:rPr>
            </w:pPr>
          </w:p>
        </w:tc>
        <w:tc>
          <w:tcPr>
            <w:tcW w:w="1666" w:type="dxa"/>
            <w:vMerge w:val="continue"/>
            <w:vAlign w:val="center"/>
          </w:tcPr>
          <w:p>
            <w:pPr>
              <w:spacing w:line="360" w:lineRule="auto"/>
              <w:jc w:val="center"/>
              <w:rPr>
                <w:rFonts w:hint="eastAsia" w:ascii="宋体" w:hAnsi="宋体" w:eastAsia="宋体" w:cs="宋体"/>
                <w:kern w:val="0"/>
                <w:sz w:val="24"/>
                <w:szCs w:val="24"/>
              </w:rPr>
            </w:pPr>
          </w:p>
        </w:tc>
        <w:tc>
          <w:tcPr>
            <w:tcW w:w="7152" w:type="dxa"/>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具备网络应急抢险及应急通信保障能力，需提供证明材料。具有独立、自有、专门的应急抢险及应急通信保障机构，得12分；具有应急抢险及应急通信保障机构（可以非自有），得6分；其余不得分。（提供相关证明材料，加盖公章）</w:t>
            </w:r>
          </w:p>
        </w:tc>
        <w:tc>
          <w:tcPr>
            <w:tcW w:w="81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9" w:hRule="atLeast"/>
          <w:jc w:val="center"/>
        </w:trPr>
        <w:tc>
          <w:tcPr>
            <w:tcW w:w="814" w:type="dxa"/>
            <w:tcBorders>
              <w:top w:val="single" w:color="000000" w:sz="2" w:space="0"/>
              <w:bottom w:val="single" w:color="000000" w:sz="2" w:space="0"/>
            </w:tcBorders>
            <w:vAlign w:val="center"/>
          </w:tcPr>
          <w:p>
            <w:pPr>
              <w:spacing w:line="360" w:lineRule="auto"/>
              <w:jc w:val="center"/>
              <w:rPr>
                <w:rFonts w:hint="eastAsia" w:ascii="宋体" w:hAnsi="宋体" w:eastAsia="宋体" w:cs="宋体"/>
                <w:kern w:val="0"/>
                <w:sz w:val="24"/>
                <w:szCs w:val="24"/>
              </w:rPr>
            </w:pPr>
          </w:p>
        </w:tc>
        <w:tc>
          <w:tcPr>
            <w:tcW w:w="1666" w:type="dxa"/>
            <w:tcBorders>
              <w:top w:val="single" w:color="000000" w:sz="2" w:space="0"/>
              <w:bottom w:val="single" w:color="000000" w:sz="2" w:space="0"/>
            </w:tcBorders>
            <w:vAlign w:val="center"/>
          </w:tcPr>
          <w:p>
            <w:pPr>
              <w:spacing w:line="360" w:lineRule="auto"/>
              <w:jc w:val="center"/>
              <w:rPr>
                <w:rFonts w:hint="eastAsia" w:ascii="宋体" w:hAnsi="宋体" w:eastAsia="宋体" w:cs="宋体"/>
                <w:kern w:val="0"/>
                <w:sz w:val="24"/>
                <w:szCs w:val="24"/>
              </w:rPr>
            </w:pPr>
          </w:p>
        </w:tc>
        <w:tc>
          <w:tcPr>
            <w:tcW w:w="7152" w:type="dxa"/>
            <w:tcBorders>
              <w:top w:val="single" w:color="000000" w:sz="2" w:space="0"/>
              <w:bottom w:val="single" w:color="000000" w:sz="2" w:space="0"/>
            </w:tcBorders>
            <w:vAlign w:val="center"/>
          </w:tcPr>
          <w:p>
            <w:pPr>
              <w:spacing w:line="360" w:lineRule="auto"/>
              <w:jc w:val="both"/>
              <w:rPr>
                <w:rFonts w:hint="eastAsia" w:ascii="宋体" w:hAnsi="宋体" w:eastAsia="宋体" w:cs="宋体"/>
                <w:kern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提供近 24 个月内有医院 / 医疗专线、数据网络服务类似项目合同及验收报告</w:t>
            </w:r>
            <w:r>
              <w:rPr>
                <w:rFonts w:hint="eastAsia" w:ascii="宋体" w:hAnsi="宋体" w:eastAsia="宋体" w:cs="宋体"/>
                <w:sz w:val="24"/>
                <w:szCs w:val="24"/>
                <w:lang w:eastAsia="zh-CN"/>
              </w:rPr>
              <w:t>等</w:t>
            </w:r>
            <w:r>
              <w:rPr>
                <w:rFonts w:hint="eastAsia" w:ascii="宋体" w:hAnsi="宋体" w:eastAsia="宋体" w:cs="宋体"/>
                <w:sz w:val="24"/>
                <w:szCs w:val="24"/>
              </w:rPr>
              <w:t>类似业绩，每提供1个业绩得3分，最高得9分，同一业主单位的多个合同不累计。 (提供中标通知书或合同扫描件加盖投标商公章)</w:t>
            </w:r>
          </w:p>
        </w:tc>
        <w:tc>
          <w:tcPr>
            <w:tcW w:w="815" w:type="dxa"/>
            <w:tcBorders>
              <w:top w:val="single" w:color="000000" w:sz="2" w:space="0"/>
              <w:bottom w:val="single" w:color="000000" w:sz="2"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jc w:val="center"/>
        </w:trPr>
        <w:tc>
          <w:tcPr>
            <w:tcW w:w="10447" w:type="dxa"/>
            <w:gridSpan w:val="4"/>
            <w:tcBorders>
              <w:top w:val="single" w:color="000000" w:sz="2" w:space="0"/>
              <w:bottom w:val="single" w:color="000000" w:sz="2" w:space="0"/>
            </w:tcBorders>
            <w:vAlign w:val="center"/>
          </w:tcPr>
          <w:p>
            <w:pPr>
              <w:spacing w:line="360" w:lineRule="auto"/>
              <w:jc w:val="center"/>
              <w:rPr>
                <w:rFonts w:hint="eastAsia" w:ascii="宋体" w:hAnsi="宋体" w:eastAsia="宋体" w:cs="宋体"/>
                <w:kern w:val="0"/>
                <w:sz w:val="20"/>
                <w:szCs w:val="21"/>
              </w:rPr>
            </w:pPr>
            <w:r>
              <w:rPr>
                <w:rFonts w:hint="eastAsia" w:ascii="宋体" w:hAnsi="宋体" w:eastAsia="宋体" w:cs="宋体"/>
                <w:spacing w:val="-9"/>
                <w:kern w:val="0"/>
                <w:sz w:val="28"/>
                <w:szCs w:val="28"/>
                <w14:textOutline w14:w="3835" w14:cap="flat" w14:cmpd="sng" w14:algn="ctr">
                  <w14:solidFill>
                    <w14:srgbClr w14:val="000000"/>
                  </w14:solidFill>
                  <w14:prstDash w14:val="solid"/>
                  <w14:miter w14:val="0"/>
                </w14:textOutline>
              </w:rPr>
              <w:t>（三）技术评分（满分49分）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jc w:val="center"/>
        </w:trPr>
        <w:tc>
          <w:tcPr>
            <w:tcW w:w="814" w:type="dxa"/>
            <w:tcBorders>
              <w:top w:val="single" w:color="000000" w:sz="2"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2"/>
                <w:kern w:val="0"/>
                <w:sz w:val="24"/>
                <w:szCs w:val="24"/>
              </w:rPr>
              <w:t>序号</w:t>
            </w:r>
          </w:p>
        </w:tc>
        <w:tc>
          <w:tcPr>
            <w:tcW w:w="1666" w:type="dxa"/>
            <w:tcBorders>
              <w:top w:val="single" w:color="000000" w:sz="2"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评审内容</w:t>
            </w:r>
          </w:p>
        </w:tc>
        <w:tc>
          <w:tcPr>
            <w:tcW w:w="7152" w:type="dxa"/>
            <w:tcBorders>
              <w:top w:val="single" w:color="000000" w:sz="2"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评分标准</w:t>
            </w:r>
          </w:p>
        </w:tc>
        <w:tc>
          <w:tcPr>
            <w:tcW w:w="815" w:type="dxa"/>
            <w:tcBorders>
              <w:top w:val="single" w:color="000000" w:sz="2"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spacing w:val="-3"/>
                <w:kern w:val="0"/>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0" w:hRule="atLeast"/>
          <w:jc w:val="center"/>
        </w:trPr>
        <w:tc>
          <w:tcPr>
            <w:tcW w:w="814" w:type="dxa"/>
            <w:tcBorders>
              <w:top w:val="single" w:color="000000" w:sz="2" w:space="0"/>
            </w:tcBorders>
            <w:vAlign w:val="center"/>
          </w:tcPr>
          <w:p>
            <w:pPr>
              <w:spacing w:line="36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66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实施方案</w:t>
            </w:r>
          </w:p>
        </w:tc>
        <w:tc>
          <w:tcPr>
            <w:tcW w:w="7152"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方案完整、针对性强，含需求分析、架构设计、部署实施、数据迁移、培训维护等，完整详细得 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 xml:space="preserve"> 分，部分完整得 </w:t>
            </w:r>
            <w:r>
              <w:rPr>
                <w:rFonts w:hint="eastAsia" w:ascii="宋体" w:hAnsi="宋体" w:eastAsia="宋体" w:cs="宋体"/>
                <w:kern w:val="0"/>
                <w:sz w:val="24"/>
                <w:szCs w:val="24"/>
                <w:lang w:val="en-US" w:eastAsia="zh-CN" w:bidi="ar"/>
              </w:rPr>
              <w:t>7</w:t>
            </w:r>
            <w:r>
              <w:rPr>
                <w:rFonts w:hint="eastAsia" w:ascii="宋体" w:hAnsi="宋体" w:eastAsia="宋体" w:cs="宋体"/>
                <w:kern w:val="0"/>
                <w:sz w:val="24"/>
                <w:szCs w:val="24"/>
                <w:lang w:bidi="ar"/>
              </w:rPr>
              <w:t xml:space="preserve"> 分，缺漏较多得 </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 xml:space="preserve"> 分，粗糙无针对性得 0 分。</w:t>
            </w:r>
          </w:p>
        </w:tc>
        <w:tc>
          <w:tcPr>
            <w:tcW w:w="815" w:type="dxa"/>
            <w:tcBorders>
              <w:top w:val="single" w:color="000000" w:sz="2" w:space="0"/>
            </w:tcBorders>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spacing w:val="-6"/>
                <w:kern w:val="0"/>
                <w:sz w:val="24"/>
                <w:szCs w:val="24"/>
              </w:rPr>
              <w:t>1</w:t>
            </w:r>
            <w:r>
              <w:rPr>
                <w:rFonts w:hint="eastAsia" w:ascii="宋体" w:hAnsi="宋体" w:eastAsia="宋体" w:cs="宋体"/>
                <w:spacing w:val="-6"/>
                <w:kern w:val="0"/>
                <w:sz w:val="24"/>
                <w:szCs w:val="24"/>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0" w:hRule="atLeast"/>
          <w:jc w:val="center"/>
        </w:trPr>
        <w:tc>
          <w:tcPr>
            <w:tcW w:w="814" w:type="dxa"/>
            <w:tcBorders>
              <w:top w:val="single" w:color="000000" w:sz="2" w:space="0"/>
            </w:tcBorders>
            <w:vAlign w:val="center"/>
          </w:tcPr>
          <w:p>
            <w:pPr>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66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技术指标</w:t>
            </w:r>
          </w:p>
        </w:tc>
        <w:tc>
          <w:tcPr>
            <w:tcW w:w="7152"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满足传输误码率≤1.0×10⁻⁷、倒换时间≤50ms、月累计故障≤4 次、电路可用率≥99.9%、7×24 小时服务等指标，完全满足得 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 xml:space="preserve"> 分，部分满足</w:t>
            </w:r>
            <w:r>
              <w:rPr>
                <w:rFonts w:hint="eastAsia" w:ascii="宋体" w:hAnsi="宋体" w:eastAsia="宋体" w:cs="宋体"/>
                <w:kern w:val="0"/>
                <w:sz w:val="24"/>
                <w:szCs w:val="24"/>
                <w:lang w:eastAsia="zh-CN" w:bidi="ar"/>
              </w:rPr>
              <w:t>的</w:t>
            </w:r>
            <w:r>
              <w:rPr>
                <w:rFonts w:hint="eastAsia" w:ascii="宋体" w:hAnsi="宋体" w:eastAsia="宋体" w:cs="宋体"/>
                <w:kern w:val="0"/>
                <w:sz w:val="24"/>
                <w:szCs w:val="24"/>
                <w:lang w:val="en-US" w:eastAsia="zh-CN" w:bidi="ar"/>
              </w:rPr>
              <w:t>7分，不满足不得分</w:t>
            </w:r>
            <w:r>
              <w:rPr>
                <w:rFonts w:hint="eastAsia" w:ascii="宋体" w:hAnsi="宋体" w:eastAsia="宋体" w:cs="宋体"/>
                <w:kern w:val="0"/>
                <w:sz w:val="24"/>
                <w:szCs w:val="24"/>
                <w:lang w:bidi="ar"/>
              </w:rPr>
              <w:t>。</w:t>
            </w:r>
          </w:p>
        </w:tc>
        <w:tc>
          <w:tcPr>
            <w:tcW w:w="815" w:type="dxa"/>
            <w:tcBorders>
              <w:top w:val="single" w:color="000000" w:sz="2" w:space="0"/>
            </w:tcBorders>
            <w:vAlign w:val="center"/>
          </w:tcPr>
          <w:p>
            <w:pPr>
              <w:spacing w:line="360" w:lineRule="auto"/>
              <w:jc w:val="center"/>
              <w:rPr>
                <w:rFonts w:hint="default"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2" w:hRule="atLeast"/>
          <w:jc w:val="center"/>
        </w:trPr>
        <w:tc>
          <w:tcPr>
            <w:tcW w:w="814"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服务体系</w:t>
            </w:r>
          </w:p>
        </w:tc>
        <w:tc>
          <w:tcPr>
            <w:tcW w:w="715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lang w:bidi="ar"/>
              </w:rPr>
              <w:t>投标人需结合本项目特点提供运维服务体系、运维管理制度、流程规范、人员考核办法、激励政策等内容等情况制定方案：方案内容详细、思路清晰、科学合理，</w:t>
            </w:r>
            <w:r>
              <w:rPr>
                <w:rFonts w:hint="eastAsia" w:ascii="宋体" w:hAnsi="宋体" w:eastAsia="宋体" w:cs="宋体"/>
                <w:kern w:val="0"/>
                <w:sz w:val="24"/>
                <w:szCs w:val="24"/>
                <w:lang w:eastAsia="zh-CN" w:bidi="ar"/>
              </w:rPr>
              <w:t>并且为</w:t>
            </w:r>
            <w:r>
              <w:rPr>
                <w:rFonts w:hint="eastAsia" w:ascii="宋体" w:hAnsi="宋体" w:eastAsia="宋体" w:cs="宋体"/>
                <w:kern w:val="0"/>
                <w:sz w:val="24"/>
                <w:szCs w:val="24"/>
                <w:lang w:bidi="ar"/>
              </w:rPr>
              <w:t>兰州市长驻技术人员、人员稳定、上门安装调试、培训、提供技术资料、网管 24 小时监控、故障全程跟踪、3 个工作日书面反馈等，问题识别针对性全面的得10分；方案内容完整、思路清楚、合理，问题识别针对性基本全面的得7分；方案内容完整但思路不明确，问题识别针对性一般的得3分；方案内容简略、思路不明确、问题识别针对性不合理的得1分；无相关内容的不得分。</w:t>
            </w:r>
          </w:p>
        </w:tc>
        <w:tc>
          <w:tcPr>
            <w:tcW w:w="815"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62" w:hRule="atLeast"/>
          <w:jc w:val="center"/>
        </w:trPr>
        <w:tc>
          <w:tcPr>
            <w:tcW w:w="814"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售后服务方案</w:t>
            </w:r>
          </w:p>
        </w:tc>
        <w:tc>
          <w:tcPr>
            <w:tcW w:w="715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投标人需提供针对本项目的售后服务方案，根据方案服务承诺函、服务方式、响应时间、服务内容、本地化服务等方面要求进行综合评价。</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1.方案完善，并从服务承诺函、服务方式、响应时间、服务内容、本地化服务等方面进行响应，电话响应≤15 分钟、到场≤1 小时、故障恢复≤4 小时、重大故障≤5 小时；质保期免费服务、终身维修、故障替换设备等，完全满足招标要求得10分。</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2.方案较完善，能够满足招标要求得6-8分。</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3.方案齐全，基本满足招标要求得3-6分。</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rPr>
            </w:pPr>
            <w:r>
              <w:rPr>
                <w:rFonts w:hint="eastAsia" w:ascii="宋体" w:hAnsi="宋体" w:eastAsia="宋体" w:cs="宋体"/>
                <w:color w:val="000000"/>
                <w:kern w:val="0"/>
                <w:sz w:val="24"/>
                <w:szCs w:val="24"/>
              </w:rPr>
              <w:t>4.方案各项措施欠缺或者不提供的不得分。</w:t>
            </w:r>
          </w:p>
        </w:tc>
        <w:tc>
          <w:tcPr>
            <w:tcW w:w="815"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9" w:hRule="atLeast"/>
          <w:jc w:val="center"/>
        </w:trPr>
        <w:tc>
          <w:tcPr>
            <w:tcW w:w="814"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应急预案</w:t>
            </w:r>
          </w:p>
        </w:tc>
        <w:tc>
          <w:tcPr>
            <w:tcW w:w="715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rPr>
            </w:pPr>
            <w:r>
              <w:rPr>
                <w:rFonts w:hint="eastAsia" w:ascii="宋体" w:hAnsi="宋体" w:eastAsia="宋体" w:cs="宋体"/>
                <w:color w:val="000000"/>
                <w:kern w:val="0"/>
                <w:sz w:val="24"/>
                <w:szCs w:val="24"/>
              </w:rPr>
              <w:t>投标人需提供针对本项目的应急预案；要求对服务工作理解准确，对应急工作进行合理规划并制定可行计划，提供应急措施及解决方案，制定完善的应急处理流程，应对可能的突发情况；应急预案切实可行、合理完善、措施详细、针对性突出的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分；应急预案较明确、较合理完善、措施较详细、针对性较强得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分；应急预案一般、较合理完善、措施较详细、针对性一般得</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分；应急预案不合理、措施不规范、不具备可行性的不得分。</w:t>
            </w:r>
          </w:p>
        </w:tc>
        <w:tc>
          <w:tcPr>
            <w:tcW w:w="815"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9" w:hRule="atLeast"/>
          <w:jc w:val="center"/>
        </w:trPr>
        <w:tc>
          <w:tcPr>
            <w:tcW w:w="814"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服务质量保障措施</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auto"/>
              <w:outlineLvl w:val="0"/>
              <w:rPr>
                <w:rFonts w:hint="eastAsia" w:ascii="宋体" w:hAnsi="宋体" w:eastAsia="宋体" w:cs="宋体"/>
                <w:kern w:val="0"/>
                <w:sz w:val="24"/>
                <w:szCs w:val="24"/>
              </w:rPr>
            </w:pPr>
          </w:p>
        </w:tc>
        <w:tc>
          <w:tcPr>
            <w:tcW w:w="715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both"/>
              <w:textAlignment w:val="auto"/>
              <w:outlineLvl w:val="0"/>
              <w:rPr>
                <w:rFonts w:hint="eastAsia" w:ascii="宋体" w:hAnsi="宋体" w:eastAsia="宋体" w:cs="宋体"/>
                <w:kern w:val="0"/>
                <w:sz w:val="24"/>
                <w:szCs w:val="24"/>
              </w:rPr>
            </w:pPr>
            <w:r>
              <w:rPr>
                <w:rFonts w:hint="eastAsia" w:ascii="宋体" w:hAnsi="宋体" w:eastAsia="宋体" w:cs="宋体"/>
                <w:color w:val="000000"/>
                <w:kern w:val="0"/>
                <w:sz w:val="24"/>
                <w:szCs w:val="24"/>
              </w:rPr>
              <w:t>投标人需提供针对本项目的运维服务质量保障措施方案，包含服务质量保障措施、服务质量管理体系、有效的沟通渠道及反馈机制、服务问题跟踪及改进方案等；方案内容详细、贴合实际的得</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分；方案内容完整、思路清楚、合理，问题识别针对性基本全面的得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分；方案内容完整但思路不明确，问题识别针对性一般的得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分；方案内容简略、思路不明确、问题识别针对性不合理的得1分；无相关内容的不得分。</w:t>
            </w:r>
          </w:p>
        </w:tc>
        <w:tc>
          <w:tcPr>
            <w:tcW w:w="815" w:type="dxa"/>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r>
    </w:tbl>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三、项目服务期限为三年</w:t>
      </w:r>
      <w:bookmarkStart w:id="0" w:name="_GoBack"/>
      <w:bookmarkEnd w:id="0"/>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p>
      <w:pPr>
        <w:pStyle w:val="17"/>
        <w:ind w:left="0" w:leftChars="0" w:firstLine="0" w:firstLineChars="0"/>
        <w:rPr>
          <w:rFonts w:hint="eastAsia" w:ascii="宋体" w:hAnsi="宋体" w:eastAsia="宋体"/>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4F96"/>
    <w:multiLevelType w:val="multilevel"/>
    <w:tmpl w:val="17F94F96"/>
    <w:lvl w:ilvl="0" w:tentative="0">
      <w:start w:val="1"/>
      <w:numFmt w:val="chineseCountingThousand"/>
      <w:suff w:val="space"/>
      <w:lvlText w:val="第%1章"/>
      <w:lvlJc w:val="left"/>
      <w:pPr>
        <w:ind w:left="0" w:firstLine="0"/>
      </w:pPr>
      <w:rPr>
        <w:rFonts w:hint="default" w:ascii="Arial" w:hAnsi="Arial" w:eastAsia="黑体"/>
      </w:rPr>
    </w:lvl>
    <w:lvl w:ilvl="1" w:tentative="0">
      <w:start w:val="1"/>
      <w:numFmt w:val="decimal"/>
      <w:pStyle w:val="3"/>
      <w:isLgl/>
      <w:suff w:val="space"/>
      <w:lvlText w:val="%1.%2"/>
      <w:lvlJc w:val="left"/>
      <w:pPr>
        <w:ind w:left="1" w:firstLine="0"/>
      </w:pPr>
      <w:rPr>
        <w:rFonts w:hint="default" w:ascii="Arial" w:hAnsi="Arial" w:cs="Arial"/>
      </w:rPr>
    </w:lvl>
    <w:lvl w:ilvl="2" w:tentative="0">
      <w:start w:val="1"/>
      <w:numFmt w:val="decimal"/>
      <w:isLgl/>
      <w:suff w:val="space"/>
      <w:lvlText w:val="%1.%2.%3"/>
      <w:lvlJc w:val="left"/>
      <w:pPr>
        <w:ind w:left="525" w:firstLine="0"/>
      </w:pPr>
      <w:rPr>
        <w:rFonts w:hint="eastAsia"/>
        <w:color w:val="auto"/>
      </w:rPr>
    </w:lvl>
    <w:lvl w:ilvl="3" w:tentative="0">
      <w:start w:val="1"/>
      <w:numFmt w:val="decimal"/>
      <w:isLgl/>
      <w:suff w:val="space"/>
      <w:lvlText w:val="%1.%2.%3.%4"/>
      <w:lvlJc w:val="left"/>
      <w:pPr>
        <w:ind w:left="0" w:firstLine="0"/>
      </w:pPr>
      <w:rPr>
        <w:rFonts w:hint="default" w:ascii="Arial" w:hAnsi="Arial" w:cs="Arial"/>
      </w:rPr>
    </w:lvl>
    <w:lvl w:ilvl="4" w:tentative="0">
      <w:start w:val="1"/>
      <w:numFmt w:val="decimal"/>
      <w:isLgl/>
      <w:suff w:val="space"/>
      <w:lvlText w:val="%1.%2.%3.%4.%5"/>
      <w:lvlJc w:val="left"/>
      <w:pPr>
        <w:ind w:left="1" w:firstLine="0"/>
      </w:pPr>
      <w:rPr>
        <w:rFonts w:hint="default" w:ascii="Arial" w:hAnsi="Arial" w:cs="Arial"/>
        <w:b/>
        <w:bCs w:val="0"/>
      </w:rPr>
    </w:lvl>
    <w:lvl w:ilvl="5" w:tentative="0">
      <w:start w:val="1"/>
      <w:numFmt w:val="decimal"/>
      <w:isLgl/>
      <w:suff w:val="space"/>
      <w:lvlText w:val="%1.%2.%3.%4.%5.%6"/>
      <w:lvlJc w:val="left"/>
      <w:pPr>
        <w:ind w:left="5954" w:firstLine="0"/>
      </w:pPr>
      <w:rPr>
        <w:rFonts w:hint="eastAsia"/>
      </w:rPr>
    </w:lvl>
    <w:lvl w:ilvl="6" w:tentative="0">
      <w:start w:val="1"/>
      <w:numFmt w:val="decimal"/>
      <w:isLgl/>
      <w:suff w:val="space"/>
      <w:lvlText w:val="%1.%2.%3.%4.%5.%6.%7"/>
      <w:lvlJc w:val="left"/>
      <w:pPr>
        <w:ind w:left="1" w:firstLine="0"/>
      </w:pPr>
      <w:rPr>
        <w:rFonts w:hint="default" w:ascii="Arial" w:hAnsi="Arial" w:eastAsia="黑体"/>
        <w:b/>
        <w:i w:val="0"/>
        <w:sz w:val="24"/>
        <w:szCs w:val="24"/>
      </w:rPr>
    </w:lvl>
    <w:lvl w:ilvl="7" w:tentative="0">
      <w:start w:val="1"/>
      <w:numFmt w:val="none"/>
      <w:suff w:val="nothing"/>
      <w:lvlText w:val=""/>
      <w:lvlJc w:val="left"/>
      <w:pPr>
        <w:ind w:left="1" w:firstLine="0"/>
      </w:pPr>
      <w:rPr>
        <w:rFonts w:hint="eastAsia"/>
      </w:rPr>
    </w:lvl>
    <w:lvl w:ilvl="8" w:tentative="0">
      <w:start w:val="1"/>
      <w:numFmt w:val="none"/>
      <w:suff w:val="nothing"/>
      <w:lvlText w:val=""/>
      <w:lvlJc w:val="left"/>
      <w:pPr>
        <w:ind w:left="1" w:firstLine="0"/>
      </w:pPr>
      <w:rPr>
        <w:rFonts w:hint="eastAsia"/>
      </w:rPr>
    </w:lvl>
  </w:abstractNum>
  <w:abstractNum w:abstractNumId="1">
    <w:nsid w:val="225B3609"/>
    <w:multiLevelType w:val="multilevel"/>
    <w:tmpl w:val="225B3609"/>
    <w:lvl w:ilvl="0" w:tentative="0">
      <w:start w:val="1"/>
      <w:numFmt w:val="decimal"/>
      <w:pStyle w:val="4"/>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342A5C8C"/>
    <w:multiLevelType w:val="multilevel"/>
    <w:tmpl w:val="342A5C8C"/>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4ODNlODdhMGJiMzAzNzc0MDlmOGMyZTk1NTI3MzgifQ=="/>
  </w:docVars>
  <w:rsids>
    <w:rsidRoot w:val="0035344D"/>
    <w:rsid w:val="000304A2"/>
    <w:rsid w:val="0005012E"/>
    <w:rsid w:val="000A2A8A"/>
    <w:rsid w:val="001C2A22"/>
    <w:rsid w:val="0021348E"/>
    <w:rsid w:val="002B660B"/>
    <w:rsid w:val="0035344D"/>
    <w:rsid w:val="00387330"/>
    <w:rsid w:val="005144A2"/>
    <w:rsid w:val="0051480F"/>
    <w:rsid w:val="005F048E"/>
    <w:rsid w:val="00693B26"/>
    <w:rsid w:val="006C71C9"/>
    <w:rsid w:val="006F47BF"/>
    <w:rsid w:val="006F4A5C"/>
    <w:rsid w:val="00773C8B"/>
    <w:rsid w:val="007954E2"/>
    <w:rsid w:val="008B46E4"/>
    <w:rsid w:val="009670C7"/>
    <w:rsid w:val="009C00C2"/>
    <w:rsid w:val="00A22BDC"/>
    <w:rsid w:val="00A42310"/>
    <w:rsid w:val="00A45CEF"/>
    <w:rsid w:val="00A75D2A"/>
    <w:rsid w:val="00B11251"/>
    <w:rsid w:val="00B655D0"/>
    <w:rsid w:val="00B71092"/>
    <w:rsid w:val="00BC78B8"/>
    <w:rsid w:val="00C303AB"/>
    <w:rsid w:val="00C46747"/>
    <w:rsid w:val="00CE0780"/>
    <w:rsid w:val="00D374CA"/>
    <w:rsid w:val="00DB47E3"/>
    <w:rsid w:val="00E90D89"/>
    <w:rsid w:val="00F2182C"/>
    <w:rsid w:val="00FD6C1F"/>
    <w:rsid w:val="042B4B0F"/>
    <w:rsid w:val="05AB3E49"/>
    <w:rsid w:val="16FE7514"/>
    <w:rsid w:val="3FB818EC"/>
    <w:rsid w:val="464552DA"/>
    <w:rsid w:val="50213301"/>
    <w:rsid w:val="54CA2457"/>
    <w:rsid w:val="5763320C"/>
    <w:rsid w:val="7271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numPr>
        <w:ilvl w:val="0"/>
        <w:numId w:val="1"/>
      </w:numPr>
      <w:spacing w:line="360" w:lineRule="auto"/>
      <w:jc w:val="left"/>
      <w:outlineLvl w:val="0"/>
    </w:pPr>
    <w:rPr>
      <w:rFonts w:ascii="宋体" w:hAnsi="宋体" w:eastAsia="黑体" w:cs="宋体"/>
      <w:b/>
      <w:kern w:val="44"/>
      <w:sz w:val="32"/>
      <w:lang w:val="ja-JP" w:eastAsia="ja-JP" w:bidi="ja-JP"/>
    </w:rPr>
  </w:style>
  <w:style w:type="paragraph" w:styleId="3">
    <w:name w:val="heading 2"/>
    <w:basedOn w:val="1"/>
    <w:next w:val="1"/>
    <w:link w:val="11"/>
    <w:qFormat/>
    <w:uiPriority w:val="0"/>
    <w:pPr>
      <w:keepNext/>
      <w:keepLines/>
      <w:numPr>
        <w:ilvl w:val="1"/>
        <w:numId w:val="2"/>
      </w:numPr>
      <w:spacing w:line="360" w:lineRule="auto"/>
      <w:outlineLvl w:val="1"/>
    </w:pPr>
    <w:rPr>
      <w:rFonts w:ascii="Arial" w:hAnsi="Arial" w:eastAsia="楷体" w:cs="微软雅黑"/>
      <w:b/>
      <w:bCs/>
      <w:kern w:val="44"/>
      <w:sz w:val="32"/>
      <w:szCs w:val="32"/>
    </w:rPr>
  </w:style>
  <w:style w:type="paragraph" w:styleId="4">
    <w:name w:val="heading 3"/>
    <w:basedOn w:val="1"/>
    <w:next w:val="1"/>
    <w:link w:val="12"/>
    <w:qFormat/>
    <w:uiPriority w:val="0"/>
    <w:pPr>
      <w:keepNext/>
      <w:keepLines/>
      <w:numPr>
        <w:ilvl w:val="0"/>
        <w:numId w:val="3"/>
      </w:numPr>
      <w:spacing w:line="360" w:lineRule="auto"/>
      <w:ind w:firstLine="200" w:firstLineChars="200"/>
      <w:jc w:val="left"/>
      <w:outlineLvl w:val="2"/>
    </w:pPr>
    <w:rPr>
      <w:rFonts w:ascii="Arial" w:hAnsi="Arial" w:eastAsia="宋体" w:cs="微软雅黑"/>
      <w:b/>
      <w:bCs/>
      <w:kern w:val="44"/>
      <w:sz w:val="28"/>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next w:val="1"/>
    <w:link w:val="13"/>
    <w:semiHidden/>
    <w:unhideWhenUsed/>
    <w:qFormat/>
    <w:uiPriority w:val="99"/>
    <w:pPr>
      <w:autoSpaceDE w:val="0"/>
      <w:autoSpaceDN w:val="0"/>
      <w:jc w:val="left"/>
    </w:pPr>
    <w:rPr>
      <w:rFonts w:ascii="宋体" w:hAnsi="宋体" w:cs="宋体"/>
      <w:kern w:val="0"/>
      <w:szCs w:val="21"/>
      <w:lang w:eastAsia="en-US"/>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8"/>
    <w:link w:val="2"/>
    <w:qFormat/>
    <w:uiPriority w:val="0"/>
    <w:rPr>
      <w:rFonts w:ascii="宋体" w:hAnsi="宋体" w:eastAsia="黑体" w:cs="宋体"/>
      <w:b/>
      <w:kern w:val="44"/>
      <w:sz w:val="32"/>
      <w:lang w:val="ja-JP" w:eastAsia="ja-JP" w:bidi="ja-JP"/>
    </w:rPr>
  </w:style>
  <w:style w:type="character" w:customStyle="1" w:styleId="11">
    <w:name w:val="标题 2 字符"/>
    <w:basedOn w:val="8"/>
    <w:link w:val="3"/>
    <w:qFormat/>
    <w:uiPriority w:val="0"/>
    <w:rPr>
      <w:rFonts w:ascii="Arial" w:hAnsi="Arial" w:eastAsia="楷体" w:cs="微软雅黑"/>
      <w:b/>
      <w:bCs/>
      <w:kern w:val="44"/>
      <w:sz w:val="32"/>
      <w:szCs w:val="32"/>
    </w:rPr>
  </w:style>
  <w:style w:type="character" w:customStyle="1" w:styleId="12">
    <w:name w:val="标题 3 字符"/>
    <w:basedOn w:val="8"/>
    <w:link w:val="4"/>
    <w:qFormat/>
    <w:uiPriority w:val="0"/>
    <w:rPr>
      <w:rFonts w:ascii="Arial" w:hAnsi="Arial" w:eastAsia="宋体" w:cs="微软雅黑"/>
      <w:b/>
      <w:bCs/>
      <w:kern w:val="44"/>
      <w:sz w:val="28"/>
      <w:szCs w:val="32"/>
    </w:rPr>
  </w:style>
  <w:style w:type="character" w:customStyle="1" w:styleId="13">
    <w:name w:val="正文文本 字符"/>
    <w:basedOn w:val="8"/>
    <w:link w:val="5"/>
    <w:semiHidden/>
    <w:qFormat/>
    <w:uiPriority w:val="99"/>
    <w:rPr>
      <w:rFonts w:ascii="宋体" w:hAnsi="宋体" w:cs="宋体"/>
      <w:kern w:val="0"/>
      <w:szCs w:val="21"/>
      <w:lang w:eastAsia="en-US"/>
    </w:rPr>
  </w:style>
  <w:style w:type="table" w:customStyle="1" w:styleId="14">
    <w:name w:val="Table Normal"/>
    <w:semiHidden/>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15">
    <w:name w:val="页眉 字符"/>
    <w:basedOn w:val="8"/>
    <w:link w:val="7"/>
    <w:qFormat/>
    <w:uiPriority w:val="99"/>
    <w:rPr>
      <w:sz w:val="18"/>
      <w:szCs w:val="18"/>
    </w:rPr>
  </w:style>
  <w:style w:type="character" w:customStyle="1" w:styleId="16">
    <w:name w:val="页脚 字符"/>
    <w:basedOn w:val="8"/>
    <w:link w:val="6"/>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3916</Words>
  <Characters>4154</Characters>
  <Lines>31</Lines>
  <Paragraphs>8</Paragraphs>
  <TotalTime>49</TotalTime>
  <ScaleCrop>false</ScaleCrop>
  <LinksUpToDate>false</LinksUpToDate>
  <CharactersWithSpaces>4194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2023-02-02T02:05:00Z</dcterms:created>
  <dc:creator>yangll@gs.cmcc</dc:creator>
  <cp:lastModifiedBy>Administrator</cp:lastModifiedBy>
  <dcterms:modified xsi:type="dcterms:W3CDTF">2026-06-01T03:26:47Z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FEBBACC351284D3182E86BC70C9F65E3</vt:lpwstr>
  </property>
</Properties>
</file>