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53" w:tblpY="1626"/>
        <w:tblOverlap w:val="never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493"/>
        <w:gridCol w:w="5697"/>
        <w:gridCol w:w="1075"/>
      </w:tblGrid>
      <w:tr w14:paraId="6DF04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26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489FB2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甘肃省中医院5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·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12护士节活动物资供货商选取项目</w:t>
            </w:r>
          </w:p>
          <w:p w14:paraId="563312F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评分办法</w:t>
            </w:r>
          </w:p>
        </w:tc>
      </w:tr>
      <w:tr w14:paraId="2C25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497" w:type="dxa"/>
            <w:gridSpan w:val="2"/>
            <w:tcBorders>
              <w:top w:val="single" w:color="auto" w:sz="4" w:space="0"/>
            </w:tcBorders>
            <w:vAlign w:val="center"/>
          </w:tcPr>
          <w:p w14:paraId="57DAD93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5697" w:type="dxa"/>
            <w:tcBorders>
              <w:top w:val="single" w:color="auto" w:sz="4" w:space="0"/>
            </w:tcBorders>
            <w:vAlign w:val="center"/>
          </w:tcPr>
          <w:p w14:paraId="150A2E0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vAlign w:val="center"/>
          </w:tcPr>
          <w:p w14:paraId="59CA1CE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分值</w:t>
            </w:r>
          </w:p>
        </w:tc>
      </w:tr>
      <w:tr w14:paraId="63FA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7" w:type="dxa"/>
            <w:gridSpan w:val="2"/>
            <w:vAlign w:val="center"/>
          </w:tcPr>
          <w:p w14:paraId="0805D3E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报价部分</w:t>
            </w:r>
          </w:p>
          <w:p w14:paraId="74B53BD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（30分）</w:t>
            </w:r>
          </w:p>
        </w:tc>
        <w:tc>
          <w:tcPr>
            <w:tcW w:w="5697" w:type="dxa"/>
            <w:vAlign w:val="center"/>
          </w:tcPr>
          <w:p w14:paraId="3CF73A02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以按照磋商文件规定修正后的所有合格供应商的单价合计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最低的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为评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基准价。</w:t>
            </w:r>
          </w:p>
          <w:p w14:paraId="25EB02AA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报价得分=（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基准价/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最终磋商报价）×30%×100，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注：（1）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价格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得分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取值至小数点后第2位，2位以后四舍五入。</w:t>
            </w:r>
          </w:p>
          <w:p w14:paraId="4AA11FEA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磋商小组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认为供应商的报价明显低于其他通过符合性审查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供应商报价，有可能影响项目正常实施或者不能诚信履约的，应当要求其在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现场合理的时间内提供书面说明，必要时提交相关证明材料；供应商不能证明其报价合理性的，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磋商小组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应当将其作为无效响应。</w:t>
            </w:r>
          </w:p>
        </w:tc>
        <w:tc>
          <w:tcPr>
            <w:tcW w:w="1075" w:type="dxa"/>
            <w:vAlign w:val="center"/>
          </w:tcPr>
          <w:p w14:paraId="214FAFF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</w:tr>
      <w:tr w14:paraId="58FC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2497" w:type="dxa"/>
            <w:gridSpan w:val="2"/>
            <w:vAlign w:val="center"/>
          </w:tcPr>
          <w:p w14:paraId="48587AB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商务部分</w:t>
            </w:r>
          </w:p>
          <w:p w14:paraId="3844994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（6分）</w:t>
            </w:r>
          </w:p>
        </w:tc>
        <w:tc>
          <w:tcPr>
            <w:tcW w:w="5697" w:type="dxa"/>
            <w:vAlign w:val="center"/>
          </w:tcPr>
          <w:p w14:paraId="703DA157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提供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截止日前近三年类似项目业绩，每提供一项得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分，满分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分，不提供不得分。</w:t>
            </w:r>
          </w:p>
          <w:p w14:paraId="06052243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以中标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/成交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通知书或合同复印件为准</w:t>
            </w:r>
          </w:p>
        </w:tc>
        <w:tc>
          <w:tcPr>
            <w:tcW w:w="1075" w:type="dxa"/>
            <w:vAlign w:val="center"/>
          </w:tcPr>
          <w:p w14:paraId="3417055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</w:tr>
      <w:tr w14:paraId="6FAF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</w:trPr>
        <w:tc>
          <w:tcPr>
            <w:tcW w:w="1004" w:type="dxa"/>
            <w:vMerge w:val="restart"/>
            <w:vAlign w:val="center"/>
          </w:tcPr>
          <w:p w14:paraId="4A6DD77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技术部分</w:t>
            </w:r>
          </w:p>
          <w:p w14:paraId="6EAE68D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（64分）</w:t>
            </w:r>
          </w:p>
        </w:tc>
        <w:tc>
          <w:tcPr>
            <w:tcW w:w="1493" w:type="dxa"/>
            <w:vAlign w:val="center"/>
          </w:tcPr>
          <w:p w14:paraId="335D16E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项目实施方案</w:t>
            </w:r>
          </w:p>
        </w:tc>
        <w:tc>
          <w:tcPr>
            <w:tcW w:w="5697" w:type="dxa"/>
            <w:vAlign w:val="center"/>
          </w:tcPr>
          <w:p w14:paraId="4973398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供应商提供本项目实施方案，包括但不限于对本项目的前期准备、交货与供货总体进度安排、定制产品（礼品袋logo印制等）设计打样、验收交付等工作有清晰的描述和措施。实施方案完整、合理，针对性强，计划安排合理、措施得当的得20分；实施方案较为完整、合理，计划安排较合理，针对性较强，措施较为得当的得15分；实施方案不完整，内容缺项，针对性较差，个别措施内容细化程度不足或有瑕疵的得10分；未提供不得分。</w:t>
            </w:r>
          </w:p>
        </w:tc>
        <w:tc>
          <w:tcPr>
            <w:tcW w:w="1075" w:type="dxa"/>
            <w:vAlign w:val="center"/>
          </w:tcPr>
          <w:p w14:paraId="1776E28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</w:tr>
      <w:tr w14:paraId="4AAB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7" w:hRule="atLeast"/>
        </w:trPr>
        <w:tc>
          <w:tcPr>
            <w:tcW w:w="1004" w:type="dxa"/>
            <w:vMerge w:val="continue"/>
            <w:vAlign w:val="center"/>
          </w:tcPr>
          <w:p w14:paraId="7533AAF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3" w:type="dxa"/>
            <w:vAlign w:val="center"/>
          </w:tcPr>
          <w:p w14:paraId="64C4D13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样品评审</w:t>
            </w:r>
          </w:p>
        </w:tc>
        <w:tc>
          <w:tcPr>
            <w:tcW w:w="5697" w:type="dxa"/>
            <w:vAlign w:val="center"/>
          </w:tcPr>
          <w:p w14:paraId="39C4994C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根据供应商所提供的样品打分，由评委测评后，根据样品材质、外观、工艺、实用性、安全性等进行综合评分，不提供样品或缺少样品本项不得分。供应商须至少提供以下3类样品各1件：① 乐器类（陶埙/铜铃/陶笛任选其一）② DIY材料包类（中药手串/项链/耳饰/冰箱贴/香囊任选其一）③ 茶具类（茶道杯/茶饮杯/茶点盘任选其一）。</w:t>
            </w:r>
          </w:p>
          <w:p w14:paraId="3773DBD6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评分细则：① 实用性与功能性（6分）：功能完善、实用性强、符合使用场景（如乐器音准、茶具耐热、DIY材料易操作）得6分；功能基本满足、实用性一般得4分；功能缺陷、实用性差得2分；不提供不得分。② 外观与工艺（6分）：外观精美、做工精细、无明显瑕疵、定制logo清晰得6分；外观较好、做工一般、轻微瑕疵得4分；外观粗糙、做工差、明显瑕疵得2分；不提供不得分。③ 材质与安全性（6分）：材质环保安全、符合相关标准得6分；材质基本符合要求、安全性一般得4分；材质有瑕疵、安全性存疑得2分；不提供不得分。</w:t>
            </w:r>
          </w:p>
        </w:tc>
        <w:tc>
          <w:tcPr>
            <w:tcW w:w="1075" w:type="dxa"/>
            <w:vAlign w:val="center"/>
          </w:tcPr>
          <w:p w14:paraId="48F62F3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</w:tr>
      <w:tr w14:paraId="4B94D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1004" w:type="dxa"/>
            <w:vMerge w:val="continue"/>
            <w:vAlign w:val="center"/>
          </w:tcPr>
          <w:p w14:paraId="7D8790E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3" w:type="dxa"/>
            <w:shd w:val="clear"/>
            <w:vAlign w:val="center"/>
          </w:tcPr>
          <w:p w14:paraId="19CBA0E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质量保障措施方案</w:t>
            </w:r>
          </w:p>
        </w:tc>
        <w:tc>
          <w:tcPr>
            <w:tcW w:w="5697" w:type="dxa"/>
            <w:shd w:val="clear"/>
            <w:vAlign w:val="center"/>
          </w:tcPr>
          <w:p w14:paraId="2AA3D8E1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供应商根据采购服务内容及特点提供完善的质量保障措施方案，方案内容包括但不限于质量关键点分析及应对、供货质量保障措施。质量保障措施方案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内容全面、详细、具体、切合实际；内容条理清晰、逻辑性强；内容可行性高；针对性强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质量保障措施方案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全面、详细、具体、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比较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实际；内容条理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清晰、逻辑性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强；内容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可行；针对性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比较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强得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质量保障措施方案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全面、详细、具体；内容条理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清晰、逻辑性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较差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；内容可行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性差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；针对性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强得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未提供不得分。</w:t>
            </w:r>
          </w:p>
        </w:tc>
        <w:tc>
          <w:tcPr>
            <w:tcW w:w="1075" w:type="dxa"/>
            <w:shd w:val="clear"/>
            <w:vAlign w:val="center"/>
          </w:tcPr>
          <w:p w14:paraId="23E4324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</w:tr>
      <w:tr w14:paraId="6B3F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vMerge w:val="continue"/>
            <w:vAlign w:val="center"/>
          </w:tcPr>
          <w:p w14:paraId="5D12EF8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3" w:type="dxa"/>
            <w:vAlign w:val="center"/>
          </w:tcPr>
          <w:p w14:paraId="5720CEB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售后服务承诺</w:t>
            </w:r>
          </w:p>
        </w:tc>
        <w:tc>
          <w:tcPr>
            <w:tcW w:w="5697" w:type="dxa"/>
            <w:vAlign w:val="center"/>
          </w:tcPr>
          <w:p w14:paraId="13D620EC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供应商针对本项目提供售后服务方案，包括但不限于售后服务架构、售后服务计划、售后服务流程、质保期限及范围。售后服务保障体系及措施完整、内容具体、服务团队组织管理科学、人员配备合理得10分；售后服务能力及承诺内容较为具体、周到、服务团队组织管理较科学、人员配备较合理，得6分；售后服务保障体系及措施欠缺、内容空洞、服务团队组织管理及团队配备内容不完整、不合理得3分；未提供不得分。</w:t>
            </w:r>
          </w:p>
        </w:tc>
        <w:tc>
          <w:tcPr>
            <w:tcW w:w="1075" w:type="dxa"/>
            <w:vAlign w:val="center"/>
          </w:tcPr>
          <w:p w14:paraId="372876B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 w14:paraId="5E4B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194" w:type="dxa"/>
            <w:gridSpan w:val="3"/>
            <w:vAlign w:val="center"/>
          </w:tcPr>
          <w:p w14:paraId="7D4A26A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075" w:type="dxa"/>
            <w:vAlign w:val="center"/>
          </w:tcPr>
          <w:p w14:paraId="7A8B1BC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</w:tr>
    </w:tbl>
    <w:p w14:paraId="70293704">
      <w:pPr>
        <w:numPr>
          <w:ilvl w:val="0"/>
          <w:numId w:val="0"/>
        </w:numPr>
        <w:jc w:val="center"/>
        <w:rPr>
          <w:rFonts w:hint="default" w:eastAsiaTheme="minorEastAsia"/>
          <w:b/>
          <w:bCs/>
          <w:sz w:val="32"/>
          <w:szCs w:val="40"/>
          <w:lang w:val="en-US" w:eastAsia="zh-CN"/>
        </w:rPr>
      </w:pPr>
    </w:p>
    <w:sectPr>
      <w:pgSz w:w="11906" w:h="16838"/>
      <w:pgMar w:top="873" w:right="1293" w:bottom="873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C16B8"/>
    <w:rsid w:val="02EC44DD"/>
    <w:rsid w:val="063A3585"/>
    <w:rsid w:val="06837845"/>
    <w:rsid w:val="12333415"/>
    <w:rsid w:val="171A7132"/>
    <w:rsid w:val="20B61DE1"/>
    <w:rsid w:val="2100166D"/>
    <w:rsid w:val="29BF7971"/>
    <w:rsid w:val="2C904014"/>
    <w:rsid w:val="2FFB21C9"/>
    <w:rsid w:val="30FA7AC8"/>
    <w:rsid w:val="383B2EA0"/>
    <w:rsid w:val="38CF5396"/>
    <w:rsid w:val="38E52E0C"/>
    <w:rsid w:val="3D9848F1"/>
    <w:rsid w:val="3E133FF6"/>
    <w:rsid w:val="3FCB32D7"/>
    <w:rsid w:val="430262FA"/>
    <w:rsid w:val="48453A97"/>
    <w:rsid w:val="4E604FB7"/>
    <w:rsid w:val="4FA42C81"/>
    <w:rsid w:val="52EB1898"/>
    <w:rsid w:val="547D1CF3"/>
    <w:rsid w:val="57BD3E96"/>
    <w:rsid w:val="590D779B"/>
    <w:rsid w:val="628B15D4"/>
    <w:rsid w:val="7D0F532E"/>
    <w:rsid w:val="7F280963"/>
    <w:rsid w:val="7F76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1356</Words>
  <Characters>1394</Characters>
  <Lines>0</Lines>
  <Paragraphs>0</Paragraphs>
  <TotalTime>21</TotalTime>
  <ScaleCrop>false</ScaleCrop>
  <LinksUpToDate>false</LinksUpToDate>
  <CharactersWithSpaces>1400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陈皎</cp:lastModifiedBy>
  <dcterms:modified xsi:type="dcterms:W3CDTF">2026-04-22T07:31:31Z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eyJoZGlkIjoiODU4ZWQ0NTMwNDJhZjMyNzIzMzU0MjQxMWZjNzRmNmIiLCJ1c2VySWQiOiI2NTk4OTM3NDQifQ==</vt:lpwstr>
  </property>
  <property fmtid="{D5CDD505-2E9C-101B-9397-08002B2CF9AE}" pid="4" name="ICV">
    <vt:lpwstr>67567EDD5CBA429585ADC55C2123C1A6_13</vt:lpwstr>
  </property>
</Properties>
</file>