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3A2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医疗垃圾袋</w:t>
      </w:r>
      <w:r>
        <w:rPr>
          <w:b/>
          <w:bCs/>
          <w:sz w:val="32"/>
          <w:szCs w:val="32"/>
        </w:rPr>
        <w:t>采购</w:t>
      </w:r>
      <w:r>
        <w:rPr>
          <w:rFonts w:hint="eastAsia"/>
          <w:b/>
          <w:bCs/>
          <w:sz w:val="32"/>
          <w:szCs w:val="32"/>
          <w:lang w:val="en-US" w:eastAsia="zh-CN"/>
        </w:rPr>
        <w:t>项目</w:t>
      </w:r>
      <w:r>
        <w:rPr>
          <w:b/>
          <w:bCs/>
          <w:sz w:val="32"/>
          <w:szCs w:val="32"/>
        </w:rPr>
        <w:t>招标参数</w:t>
      </w:r>
    </w:p>
    <w:p w14:paraId="3ED20D5A">
      <w:pPr>
        <w:spacing w:line="48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7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05"/>
        <w:gridCol w:w="3015"/>
        <w:gridCol w:w="2250"/>
      </w:tblGrid>
      <w:tr w14:paraId="0B5B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 w14:paraId="0628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05" w:type="dxa"/>
          </w:tcPr>
          <w:p w14:paraId="43FD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3015" w:type="dxa"/>
          </w:tcPr>
          <w:p w14:paraId="3F70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2250" w:type="dxa"/>
          </w:tcPr>
          <w:p w14:paraId="0756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招标控制价（元）</w:t>
            </w:r>
          </w:p>
        </w:tc>
      </w:tr>
      <w:tr w14:paraId="59C6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 w14:paraId="33BA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05" w:type="dxa"/>
          </w:tcPr>
          <w:p w14:paraId="3CDE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大号医疗垃圾袋</w:t>
            </w:r>
          </w:p>
        </w:tc>
        <w:tc>
          <w:tcPr>
            <w:tcW w:w="3015" w:type="dxa"/>
          </w:tcPr>
          <w:p w14:paraId="52D2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</w:rPr>
              <w:t>720mmx800mmx0.025mm</w:t>
            </w:r>
          </w:p>
        </w:tc>
        <w:tc>
          <w:tcPr>
            <w:tcW w:w="2250" w:type="dxa"/>
          </w:tcPr>
          <w:p w14:paraId="53FF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0.6</w:t>
            </w:r>
          </w:p>
        </w:tc>
      </w:tr>
      <w:tr w14:paraId="2994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 w14:paraId="16CF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05" w:type="dxa"/>
          </w:tcPr>
          <w:p w14:paraId="6E1D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中号医疗垃圾袋</w:t>
            </w:r>
          </w:p>
        </w:tc>
        <w:tc>
          <w:tcPr>
            <w:tcW w:w="3015" w:type="dxa"/>
          </w:tcPr>
          <w:p w14:paraId="2E55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</w:rPr>
              <w:t>520mmx600mmx0.025mm</w:t>
            </w:r>
          </w:p>
        </w:tc>
        <w:tc>
          <w:tcPr>
            <w:tcW w:w="2250" w:type="dxa"/>
          </w:tcPr>
          <w:p w14:paraId="7B0A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宋体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 w14:paraId="1BA5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 w14:paraId="076B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05" w:type="dxa"/>
          </w:tcPr>
          <w:p w14:paraId="5784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小号医疗垃圾袋</w:t>
            </w:r>
          </w:p>
        </w:tc>
        <w:tc>
          <w:tcPr>
            <w:tcW w:w="3015" w:type="dxa"/>
          </w:tcPr>
          <w:p w14:paraId="64B75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</w:rPr>
              <w:t>400mmx500mmx0.025mm</w:t>
            </w:r>
          </w:p>
        </w:tc>
        <w:tc>
          <w:tcPr>
            <w:tcW w:w="2250" w:type="dxa"/>
          </w:tcPr>
          <w:p w14:paraId="2E54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宋体" w:cs="仿宋"/>
                <w:b w:val="0"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1608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1" w:type="dxa"/>
            <w:gridSpan w:val="4"/>
          </w:tcPr>
          <w:p w14:paraId="100B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预算价为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70000元/年，单价单量预算总价为1.1元。</w:t>
            </w:r>
          </w:p>
        </w:tc>
      </w:tr>
    </w:tbl>
    <w:p w14:paraId="2454D971">
      <w:pPr>
        <w:spacing w:line="48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投标现场需提供样品，供货期为接到甲方通知后5个日历天内完成供货。此次采购服务期为自合同签订之日起一年。</w:t>
      </w:r>
    </w:p>
    <w:p w14:paraId="09511BAA">
      <w:pPr>
        <w:pStyle w:val="2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中标方每供应1个医疗垃圾袋需免费赠送1个扎带。</w:t>
      </w:r>
    </w:p>
    <w:tbl>
      <w:tblPr>
        <w:tblStyle w:val="7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59"/>
        <w:gridCol w:w="1289"/>
        <w:gridCol w:w="5440"/>
      </w:tblGrid>
      <w:tr w14:paraId="126E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3" w:type="pct"/>
            <w:noWrap w:val="0"/>
            <w:vAlign w:val="center"/>
          </w:tcPr>
          <w:p w14:paraId="3B66A9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10" w:type="pct"/>
            <w:noWrap w:val="0"/>
            <w:vAlign w:val="center"/>
          </w:tcPr>
          <w:p w14:paraId="213317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评分项目</w:t>
            </w:r>
          </w:p>
        </w:tc>
        <w:tc>
          <w:tcPr>
            <w:tcW w:w="727" w:type="pct"/>
            <w:noWrap w:val="0"/>
            <w:vAlign w:val="center"/>
          </w:tcPr>
          <w:p w14:paraId="54415B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基础分值</w:t>
            </w:r>
          </w:p>
        </w:tc>
        <w:tc>
          <w:tcPr>
            <w:tcW w:w="3068" w:type="pct"/>
            <w:noWrap w:val="0"/>
            <w:vAlign w:val="center"/>
          </w:tcPr>
          <w:p w14:paraId="16854A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评分标准</w:t>
            </w:r>
          </w:p>
        </w:tc>
      </w:tr>
      <w:tr w14:paraId="499A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3" w:type="pct"/>
            <w:noWrap w:val="0"/>
            <w:vAlign w:val="center"/>
          </w:tcPr>
          <w:p w14:paraId="141DF98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10" w:type="pct"/>
            <w:noWrap w:val="0"/>
            <w:vAlign w:val="center"/>
          </w:tcPr>
          <w:p w14:paraId="07B4B1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价格部分</w:t>
            </w:r>
          </w:p>
          <w:p w14:paraId="565BF6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727" w:type="pct"/>
            <w:noWrap w:val="0"/>
            <w:vAlign w:val="center"/>
          </w:tcPr>
          <w:p w14:paraId="44DA5F2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3068" w:type="pct"/>
            <w:noWrap w:val="0"/>
            <w:vAlign w:val="center"/>
          </w:tcPr>
          <w:p w14:paraId="0DB552A9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投标单位价格分采用低价优先法计算，即满足招标文件要求且投标价格最低的投标报价为评标基准价，其价格分为满分。其他投标单位的价格分统一按照下列公式计算：</w:t>
            </w:r>
          </w:p>
          <w:p w14:paraId="6A37BE1F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投标报价得分=（评标基准价/投标报价）×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%×100（四舍五入小数点后保留两位数字）</w:t>
            </w:r>
          </w:p>
        </w:tc>
      </w:tr>
      <w:tr w14:paraId="5C8F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3" w:type="pct"/>
            <w:noWrap w:val="0"/>
            <w:vAlign w:val="center"/>
          </w:tcPr>
          <w:p w14:paraId="6D0992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10" w:type="pct"/>
            <w:noWrap w:val="0"/>
            <w:vAlign w:val="center"/>
          </w:tcPr>
          <w:p w14:paraId="6689EFD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商务部分</w:t>
            </w:r>
          </w:p>
          <w:p w14:paraId="0EA85F9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（10分）</w:t>
            </w:r>
          </w:p>
        </w:tc>
        <w:tc>
          <w:tcPr>
            <w:tcW w:w="727" w:type="pct"/>
            <w:noWrap w:val="0"/>
            <w:vAlign w:val="center"/>
          </w:tcPr>
          <w:p w14:paraId="2FA16D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10分</w:t>
            </w:r>
          </w:p>
        </w:tc>
        <w:tc>
          <w:tcPr>
            <w:tcW w:w="3068" w:type="pct"/>
            <w:noWrap w:val="0"/>
            <w:vAlign w:val="center"/>
          </w:tcPr>
          <w:p w14:paraId="45D64C5D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投标人提供近三年（202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月至今）类似项目业绩，每提供一份得2分，满分10分。（提供合同复印件或中标通知书复印件加盖公章，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提供不得分）</w:t>
            </w:r>
          </w:p>
        </w:tc>
      </w:tr>
      <w:tr w14:paraId="1E28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3" w:type="pct"/>
            <w:vMerge w:val="restart"/>
            <w:noWrap w:val="0"/>
            <w:vAlign w:val="center"/>
          </w:tcPr>
          <w:p w14:paraId="072462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64F0A10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2494FE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3469C60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51D1D81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36E06C9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43A7B42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1A6BF1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4E5FCA8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4A9472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337E376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09C6D2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6793D7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61F97C3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4EBFE5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D1955D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6332FA6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10" w:type="pct"/>
            <w:vMerge w:val="restart"/>
            <w:noWrap w:val="0"/>
            <w:vAlign w:val="center"/>
          </w:tcPr>
          <w:p w14:paraId="098A93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6FD0CF2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1BA70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44794A1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1F6A59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70684D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53D6B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72EA0C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64E9D0C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36B3B28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1B2CA0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31489DD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3880E96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60B6AC0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2532D08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7FB162E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技术部分</w:t>
            </w:r>
          </w:p>
          <w:p w14:paraId="24A46A2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727" w:type="pct"/>
            <w:noWrap w:val="0"/>
            <w:vAlign w:val="center"/>
          </w:tcPr>
          <w:p w14:paraId="40A7F212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4572EA5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10分</w:t>
            </w:r>
          </w:p>
        </w:tc>
        <w:tc>
          <w:tcPr>
            <w:tcW w:w="3068" w:type="pct"/>
            <w:noWrap w:val="0"/>
            <w:vAlign w:val="center"/>
          </w:tcPr>
          <w:p w14:paraId="317B28C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default" w:ascii="宋体" w:hAnsi="宋体" w:cs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根据提供样品进行打分，样品柔韧性高、结实耐磨、得10分；样品柔韧性较高、较结实耐磨得6分；样品柔韧性不高、不结实耐磨得2分；不提供样品得0分。</w:t>
            </w:r>
          </w:p>
        </w:tc>
      </w:tr>
      <w:tr w14:paraId="2A77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 w14:paraId="5CA0EF2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10" w:type="pct"/>
            <w:vMerge w:val="continue"/>
            <w:noWrap w:val="0"/>
            <w:vAlign w:val="center"/>
          </w:tcPr>
          <w:p w14:paraId="78F318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pct"/>
            <w:noWrap w:val="0"/>
            <w:vAlign w:val="center"/>
          </w:tcPr>
          <w:p w14:paraId="3701AE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20分</w:t>
            </w:r>
          </w:p>
        </w:tc>
        <w:tc>
          <w:tcPr>
            <w:tcW w:w="3068" w:type="pct"/>
            <w:noWrap w:val="0"/>
            <w:vAlign w:val="center"/>
          </w:tcPr>
          <w:p w14:paraId="46871B8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1.供货方案（包括但不限于货源保障能力、备货准备）：</w:t>
            </w:r>
          </w:p>
          <w:p w14:paraId="35DDD060">
            <w:pPr>
              <w:pStyle w:val="3"/>
              <w:tabs>
                <w:tab w:val="left" w:pos="1134"/>
              </w:tabs>
              <w:snapToGrid w:val="0"/>
              <w:spacing w:before="0" w:after="0" w:line="360" w:lineRule="auto"/>
              <w:ind w:left="0" w:firstLine="420" w:firstLineChars="200"/>
              <w:outlineLvl w:val="5"/>
              <w:rPr>
                <w:rFonts w:ascii="宋体" w:hAnsi="宋体" w:eastAsia="宋体" w:cs="宋体"/>
                <w:b w:val="0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1"/>
                <w:szCs w:val="21"/>
              </w:rPr>
              <w:t>供货方案完全满足项目需求，内容完善详尽，货源保障能力强，备货及时充足、可靠性高，项目实施人员安排科学合理的得10分；供货方案满足项目需求，内容完整，货源保障能力好，备货及时可靠，项目实施人员安排合理的得8分；供货方案满足项目需求，有供货方案，货源保障能力一般，备货时间较长，项目实施人员安排合理弱的得6分；供货方案基本满足项目需求，供货方案简略，货源保障能力差，备货时间长，无项目实施人员的得3分；不提供方案不得分。</w:t>
            </w:r>
          </w:p>
          <w:p w14:paraId="3A9CE8D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 xml:space="preserve">2.特殊情况（包括紧急供货等情况）下供货方案： </w:t>
            </w:r>
          </w:p>
          <w:p w14:paraId="1A5B15E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各种特殊情况分析全面、各环节阐述详细，供货时间均量化可控，有针对性，符合实际且合理可行得10分；对部分特殊情况分析及阐述较详细，供货时间基本量化可控，有一定针对性，基本符合实际，基本合理可行得7分；对少量特殊情况有基本阐述，供货时间基本满足需求，但没有结合实际情况进行具体分析，可行性较差得3分；未提供特殊情况下供货方案不得分。</w:t>
            </w:r>
          </w:p>
        </w:tc>
      </w:tr>
      <w:tr w14:paraId="5581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  <w:jc w:val="center"/>
        </w:trPr>
        <w:tc>
          <w:tcPr>
            <w:tcW w:w="493" w:type="pct"/>
            <w:vMerge w:val="continue"/>
            <w:noWrap w:val="0"/>
            <w:vAlign w:val="center"/>
          </w:tcPr>
          <w:p w14:paraId="169A716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10" w:type="pct"/>
            <w:vMerge w:val="continue"/>
            <w:noWrap w:val="0"/>
            <w:vAlign w:val="center"/>
          </w:tcPr>
          <w:p w14:paraId="1D56BE6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pct"/>
            <w:noWrap w:val="0"/>
            <w:vAlign w:val="center"/>
          </w:tcPr>
          <w:p w14:paraId="6D60A89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10分</w:t>
            </w:r>
          </w:p>
        </w:tc>
        <w:tc>
          <w:tcPr>
            <w:tcW w:w="3068" w:type="pct"/>
            <w:noWrap w:val="0"/>
            <w:vAlign w:val="center"/>
          </w:tcPr>
          <w:p w14:paraId="1208E28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1.质量保证措施（包括但不限于质量保障措施、问题解决方案、违约责任承诺）：</w:t>
            </w:r>
          </w:p>
          <w:p w14:paraId="791A139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 xml:space="preserve">产品质量完全满足招标文件要求，对产品质量保证措施有详细完善阐述，有全面详尽的违约责任承诺，问题解决方案科学合理，可行性强的得7分；产品质量满足招标文件要求，对产品质量保证措施有完整阐述，有具体的违约责任承诺，问题解决方案合理可行的得5分；产品质量满足招标文件要求，对产品质量保证措施有阐述，有违约责任承诺，问题解决方案可行性一般的得3分；产品质量基本满足招标文件要求，违约责任承诺，产品质量保证措施简略的得1分；不提供不得分。 </w:t>
            </w:r>
          </w:p>
          <w:p w14:paraId="71532C15">
            <w:pPr>
              <w:pStyle w:val="3"/>
              <w:tabs>
                <w:tab w:val="left" w:pos="1134"/>
              </w:tabs>
              <w:snapToGrid w:val="0"/>
              <w:spacing w:before="0" w:after="0" w:line="360" w:lineRule="auto"/>
              <w:ind w:left="0" w:firstLine="420" w:firstLineChars="200"/>
              <w:outlineLvl w:val="5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1"/>
                <w:szCs w:val="21"/>
              </w:rPr>
              <w:t>2.投标人提供“产品出现产品质量、供货错误或其他问题时，免费退换货”的承诺函得3分。</w:t>
            </w:r>
          </w:p>
        </w:tc>
      </w:tr>
      <w:tr w14:paraId="3261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493" w:type="pct"/>
            <w:noWrap w:val="0"/>
            <w:vAlign w:val="center"/>
          </w:tcPr>
          <w:p w14:paraId="77F15C8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10" w:type="pct"/>
            <w:noWrap w:val="0"/>
            <w:vAlign w:val="center"/>
          </w:tcPr>
          <w:p w14:paraId="5BD428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pct"/>
            <w:noWrap w:val="0"/>
            <w:vAlign w:val="center"/>
          </w:tcPr>
          <w:p w14:paraId="6FE9B26B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3068" w:type="pct"/>
            <w:noWrap w:val="0"/>
            <w:vAlign w:val="center"/>
          </w:tcPr>
          <w:p w14:paraId="70F1FBDF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售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后服务内容：</w:t>
            </w:r>
          </w:p>
          <w:p w14:paraId="11663FDE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一档（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分）：售后服务完全满足招标文件要求，售后服务方案（承诺）完善，人员服务计划科学、完善。</w:t>
            </w:r>
          </w:p>
          <w:p w14:paraId="3F49DDA9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二档（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分）：售后服务较好满足招标文件要求，售后服务方案（承诺）完整，人员计划完整、可行。</w:t>
            </w:r>
          </w:p>
          <w:p w14:paraId="5CCE4A00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三档（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分）：售后服务基本满足采购文件要求，售后服务方案（承诺）较粗略，人员计划不完整或可行性差。</w:t>
            </w:r>
          </w:p>
          <w:p w14:paraId="0F942AC2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不提供不得分。</w:t>
            </w:r>
          </w:p>
        </w:tc>
      </w:tr>
      <w:tr w14:paraId="04E0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493" w:type="pct"/>
            <w:noWrap w:val="0"/>
            <w:vAlign w:val="center"/>
          </w:tcPr>
          <w:p w14:paraId="6AA02C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10" w:type="pct"/>
            <w:noWrap w:val="0"/>
            <w:vAlign w:val="center"/>
          </w:tcPr>
          <w:p w14:paraId="21E1F1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pct"/>
            <w:noWrap w:val="0"/>
            <w:vAlign w:val="center"/>
          </w:tcPr>
          <w:p w14:paraId="62F51229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3068" w:type="pct"/>
            <w:noWrap w:val="0"/>
            <w:vAlign w:val="center"/>
          </w:tcPr>
          <w:p w14:paraId="1788E20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违约承诺：投标供应商是否满足招标文件要求，是否有具体的违约责任承诺进行打分：</w:t>
            </w:r>
          </w:p>
          <w:p w14:paraId="7486AC6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完全满足招标文件要求，有具体详细的违约责任承诺叙述全面详尽、响应措施合理可行得10分；</w:t>
            </w:r>
          </w:p>
          <w:p w14:paraId="4286116E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满足招标文件要求，有违约责任承诺叙述单一简洁、响应措施较合理可行得的得6分；</w:t>
            </w:r>
          </w:p>
          <w:p w14:paraId="12EE256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基本满足招标文件要求，有违约责任承诺叙述单一、响应措施基本可行得2分；  </w:t>
            </w:r>
          </w:p>
          <w:p w14:paraId="32151119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不提供不得分。</w:t>
            </w:r>
          </w:p>
        </w:tc>
      </w:tr>
    </w:tbl>
    <w:p w14:paraId="37372D87">
      <w:pPr>
        <w:spacing w:line="560" w:lineRule="exact"/>
        <w:rPr>
          <w:rFonts w:hint="eastAsia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2FF2"/>
    <w:rsid w:val="1B0739DD"/>
    <w:rsid w:val="255F691D"/>
    <w:rsid w:val="263703A8"/>
    <w:rsid w:val="2759312C"/>
    <w:rsid w:val="2881188D"/>
    <w:rsid w:val="35202671"/>
    <w:rsid w:val="38775F81"/>
    <w:rsid w:val="3E804C91"/>
    <w:rsid w:val="49015FCE"/>
    <w:rsid w:val="7289740F"/>
    <w:rsid w:val="79E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keepLines/>
      <w:spacing w:before="240" w:beforeLines="0" w:after="64" w:afterLines="0" w:line="320" w:lineRule="auto"/>
      <w:outlineLvl w:val="5"/>
    </w:pPr>
    <w:rPr>
      <w:rFonts w:ascii="Arial" w:hAnsi="Arial" w:eastAsia="黑体"/>
      <w:b/>
      <w:sz w:val="2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after="120" w:afterLines="0"/>
      <w:jc w:val="left"/>
    </w:pPr>
    <w:rPr>
      <w:rFonts w:ascii="Calibri" w:hAnsi="Calibri"/>
      <w:b/>
      <w:bCs/>
      <w:caps/>
      <w:sz w:val="20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1481</Words>
  <Characters>1574</Characters>
  <Lines>0</Lines>
  <Paragraphs>0</Paragraphs>
  <TotalTime>994</TotalTime>
  <ScaleCrop>false</ScaleCrop>
  <LinksUpToDate>false</LinksUpToDate>
  <CharactersWithSpaces>1578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2025-09-28T07:18:00Z</dcterms:created>
  <dc:creator>HUAWEI</dc:creator>
  <cp:lastModifiedBy>Mr.崔 </cp:lastModifiedBy>
  <cp:lastPrinted>2025-12-23T00:26:04Z</cp:lastPrinted>
  <dcterms:modified xsi:type="dcterms:W3CDTF">2025-12-23T08:53:26Z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eyJoZGlkIjoiNjJlOTgxZGY3OTg5ZTNlZTU1Yjc1YzBkZWY5ZDZmNWEiLCJ1c2VySWQiOiI2MDE0NjMzMjUifQ==</vt:lpwstr>
  </property>
  <property fmtid="{D5CDD505-2E9C-101B-9397-08002B2CF9AE}" pid="4" name="ICV">
    <vt:lpwstr>437D03B1531842199F586418582A890B_12</vt:lpwstr>
  </property>
</Properties>
</file>