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BE6BD">
      <w:pPr>
        <w:spacing w:line="360" w:lineRule="auto"/>
        <w:jc w:val="center"/>
        <w:rPr>
          <w:rFonts w:hint="eastAsia" w:ascii="宋体" w:hAnsi="宋体" w:cs="宋体"/>
          <w:b/>
          <w:bCs/>
          <w:sz w:val="24"/>
        </w:rPr>
      </w:pPr>
      <w:r>
        <w:rPr>
          <w:rFonts w:hint="eastAsia" w:ascii="宋体" w:hAnsi="宋体" w:cs="宋体"/>
          <w:b/>
          <w:bCs/>
          <w:sz w:val="24"/>
          <w:lang w:val="en-US" w:eastAsia="zh-CN"/>
        </w:rPr>
        <w:t>2026</w:t>
      </w:r>
      <w:r>
        <w:rPr>
          <w:rFonts w:hint="eastAsia" w:ascii="宋体" w:hAnsi="宋体" w:cs="宋体"/>
          <w:b/>
          <w:bCs/>
          <w:sz w:val="24"/>
        </w:rPr>
        <w:t>年度预算申报项目第三方评审招标</w:t>
      </w:r>
    </w:p>
    <w:p w14:paraId="48547622">
      <w:pPr>
        <w:spacing w:line="360" w:lineRule="auto"/>
        <w:jc w:val="center"/>
        <w:rPr>
          <w:rFonts w:hint="eastAsia" w:ascii="宋体" w:hAnsi="宋体" w:cs="宋体"/>
          <w:b/>
          <w:bCs/>
          <w:sz w:val="24"/>
        </w:rPr>
      </w:pPr>
      <w:r>
        <w:rPr>
          <w:rFonts w:hint="eastAsia" w:ascii="宋体" w:hAnsi="宋体" w:cs="宋体"/>
          <w:b/>
          <w:bCs/>
          <w:sz w:val="24"/>
        </w:rPr>
        <w:t>综合评标细则打分表</w:t>
      </w:r>
    </w:p>
    <w:tbl>
      <w:tblPr>
        <w:tblStyle w:val="5"/>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67"/>
        <w:gridCol w:w="6210"/>
        <w:gridCol w:w="721"/>
      </w:tblGrid>
      <w:tr w14:paraId="4226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707" w:type="dxa"/>
            <w:vAlign w:val="center"/>
          </w:tcPr>
          <w:p w14:paraId="78884DE4">
            <w:pPr>
              <w:widowControl/>
              <w:snapToGrid w:val="0"/>
              <w:spacing w:line="360" w:lineRule="auto"/>
              <w:jc w:val="center"/>
              <w:textAlignment w:val="center"/>
              <w:rPr>
                <w:rFonts w:hint="eastAsia" w:ascii="宋体" w:hAnsi="宋体" w:cs="宋体"/>
                <w:b/>
                <w:szCs w:val="21"/>
              </w:rPr>
            </w:pPr>
            <w:r>
              <w:rPr>
                <w:rFonts w:hint="eastAsia" w:ascii="宋体" w:hAnsi="宋体" w:cs="宋体"/>
                <w:b/>
                <w:szCs w:val="21"/>
              </w:rPr>
              <w:t>序号</w:t>
            </w:r>
          </w:p>
        </w:tc>
        <w:tc>
          <w:tcPr>
            <w:tcW w:w="1067" w:type="dxa"/>
            <w:vAlign w:val="center"/>
          </w:tcPr>
          <w:p w14:paraId="778CC759">
            <w:pPr>
              <w:widowControl/>
              <w:snapToGrid w:val="0"/>
              <w:spacing w:line="360" w:lineRule="auto"/>
              <w:jc w:val="center"/>
              <w:textAlignment w:val="center"/>
              <w:rPr>
                <w:rFonts w:hint="eastAsia" w:ascii="宋体" w:hAnsi="宋体" w:cs="宋体"/>
                <w:b/>
                <w:szCs w:val="21"/>
              </w:rPr>
            </w:pPr>
            <w:r>
              <w:rPr>
                <w:rFonts w:hint="eastAsia" w:ascii="宋体" w:hAnsi="宋体" w:cs="宋体"/>
                <w:b/>
                <w:szCs w:val="21"/>
              </w:rPr>
              <w:t>评标因素</w:t>
            </w:r>
          </w:p>
        </w:tc>
        <w:tc>
          <w:tcPr>
            <w:tcW w:w="6210" w:type="dxa"/>
            <w:vAlign w:val="center"/>
          </w:tcPr>
          <w:p w14:paraId="6B34768E">
            <w:pPr>
              <w:widowControl/>
              <w:snapToGrid w:val="0"/>
              <w:spacing w:line="360" w:lineRule="auto"/>
              <w:jc w:val="center"/>
              <w:textAlignment w:val="center"/>
              <w:rPr>
                <w:rFonts w:hint="eastAsia" w:ascii="宋体" w:hAnsi="宋体" w:cs="宋体"/>
                <w:b/>
                <w:szCs w:val="21"/>
              </w:rPr>
            </w:pPr>
            <w:r>
              <w:rPr>
                <w:rFonts w:hint="eastAsia" w:ascii="宋体" w:hAnsi="宋体" w:cs="宋体"/>
                <w:b/>
                <w:szCs w:val="21"/>
              </w:rPr>
              <w:t>评标标准</w:t>
            </w:r>
          </w:p>
        </w:tc>
        <w:tc>
          <w:tcPr>
            <w:tcW w:w="721" w:type="dxa"/>
            <w:vAlign w:val="center"/>
          </w:tcPr>
          <w:p w14:paraId="2F2151EF">
            <w:pPr>
              <w:widowControl/>
              <w:snapToGrid w:val="0"/>
              <w:spacing w:line="360" w:lineRule="auto"/>
              <w:jc w:val="center"/>
              <w:textAlignment w:val="center"/>
              <w:rPr>
                <w:rFonts w:hint="eastAsia" w:ascii="宋体" w:hAnsi="宋体" w:cs="宋体"/>
                <w:b/>
                <w:szCs w:val="21"/>
              </w:rPr>
            </w:pPr>
            <w:r>
              <w:rPr>
                <w:rFonts w:hint="eastAsia" w:ascii="宋体" w:hAnsi="宋体" w:cs="宋体"/>
                <w:b/>
                <w:szCs w:val="21"/>
              </w:rPr>
              <w:t>分值</w:t>
            </w:r>
          </w:p>
        </w:tc>
      </w:tr>
      <w:tr w14:paraId="374A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707" w:type="dxa"/>
            <w:vAlign w:val="center"/>
          </w:tcPr>
          <w:p w14:paraId="28A1622A">
            <w:pPr>
              <w:adjustRightInd w:val="0"/>
              <w:snapToGrid w:val="0"/>
              <w:spacing w:line="360" w:lineRule="auto"/>
              <w:jc w:val="center"/>
              <w:rPr>
                <w:rFonts w:hint="eastAsia" w:ascii="宋体" w:hAnsi="宋体" w:cs="宋体"/>
                <w:bCs/>
                <w:szCs w:val="21"/>
              </w:rPr>
            </w:pPr>
            <w:r>
              <w:rPr>
                <w:rFonts w:hint="eastAsia" w:ascii="宋体" w:hAnsi="宋体" w:cs="宋体"/>
                <w:bCs/>
                <w:szCs w:val="21"/>
              </w:rPr>
              <w:t>1</w:t>
            </w:r>
          </w:p>
        </w:tc>
        <w:tc>
          <w:tcPr>
            <w:tcW w:w="1067" w:type="dxa"/>
            <w:vAlign w:val="center"/>
          </w:tcPr>
          <w:p w14:paraId="04563627">
            <w:pPr>
              <w:widowControl/>
              <w:snapToGrid w:val="0"/>
              <w:spacing w:line="360" w:lineRule="auto"/>
              <w:jc w:val="center"/>
              <w:rPr>
                <w:rFonts w:hint="eastAsia" w:ascii="宋体" w:hAnsi="宋体" w:cs="宋体"/>
                <w:bCs/>
                <w:szCs w:val="21"/>
              </w:rPr>
            </w:pPr>
            <w:r>
              <w:rPr>
                <w:rFonts w:hint="eastAsia" w:ascii="宋体" w:hAnsi="宋体" w:cs="宋体"/>
                <w:bCs/>
                <w:szCs w:val="21"/>
              </w:rPr>
              <w:t>价格部分</w:t>
            </w:r>
          </w:p>
          <w:p w14:paraId="6BF8A5B7">
            <w:pPr>
              <w:widowControl/>
              <w:snapToGrid w:val="0"/>
              <w:spacing w:line="360" w:lineRule="auto"/>
              <w:jc w:val="center"/>
              <w:rPr>
                <w:rFonts w:hint="eastAsia" w:ascii="宋体" w:hAnsi="宋体" w:cs="宋体"/>
                <w:bCs/>
                <w:szCs w:val="21"/>
              </w:rPr>
            </w:pPr>
            <w:r>
              <w:rPr>
                <w:rFonts w:hint="eastAsia" w:ascii="宋体" w:hAnsi="宋体" w:cs="宋体"/>
                <w:bCs/>
                <w:szCs w:val="21"/>
              </w:rPr>
              <w:t>(30分)</w:t>
            </w:r>
          </w:p>
        </w:tc>
        <w:tc>
          <w:tcPr>
            <w:tcW w:w="6210" w:type="dxa"/>
            <w:vAlign w:val="top"/>
          </w:tcPr>
          <w:p w14:paraId="5DFA3FF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szCs w:val="21"/>
              </w:rPr>
            </w:pPr>
            <w:r>
              <w:rPr>
                <w:rFonts w:hint="eastAsia" w:ascii="宋体" w:hAnsi="宋体" w:cs="宋体"/>
                <w:szCs w:val="21"/>
              </w:rPr>
              <w:t>1、综合评分法中的价格分统一采用低价优先法计算，即满足招标文件要求且投标价格最低的投标报价为评标基准价，其价格分为满分，其他供应商的价格分统一按照下列计算（取小数点后两位）：</w:t>
            </w:r>
          </w:p>
          <w:p w14:paraId="7F72A88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szCs w:val="21"/>
              </w:rPr>
            </w:pPr>
            <w:r>
              <w:rPr>
                <w:rFonts w:hint="eastAsia" w:ascii="宋体" w:hAnsi="宋体" w:cs="宋体"/>
                <w:szCs w:val="21"/>
              </w:rPr>
              <w:t>投标报价得分=（评标基准价/投标报价）</w:t>
            </w:r>
            <w:r>
              <w:rPr>
                <w:rFonts w:hint="eastAsia" w:ascii="宋体" w:hAnsi="宋体" w:cs="宋体"/>
                <w:bCs/>
                <w:szCs w:val="21"/>
              </w:rPr>
              <w:t>×30%×100。</w:t>
            </w:r>
          </w:p>
          <w:p w14:paraId="69609B90">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kern w:val="0"/>
                <w:sz w:val="21"/>
                <w:szCs w:val="21"/>
                <w:lang w:bidi="ar"/>
              </w:rPr>
              <w:t>2、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c>
          <w:tcPr>
            <w:tcW w:w="721" w:type="dxa"/>
            <w:vAlign w:val="center"/>
          </w:tcPr>
          <w:p w14:paraId="6A4623E1">
            <w:pPr>
              <w:adjustRightInd w:val="0"/>
              <w:snapToGrid w:val="0"/>
              <w:spacing w:line="360" w:lineRule="auto"/>
              <w:jc w:val="center"/>
              <w:rPr>
                <w:rFonts w:hint="eastAsia" w:ascii="宋体" w:hAnsi="宋体" w:cs="宋体"/>
                <w:bCs/>
                <w:szCs w:val="21"/>
              </w:rPr>
            </w:pPr>
            <w:r>
              <w:rPr>
                <w:rFonts w:hint="eastAsia" w:ascii="宋体" w:hAnsi="宋体" w:cs="宋体"/>
                <w:bCs/>
                <w:szCs w:val="21"/>
              </w:rPr>
              <w:t>30</w:t>
            </w:r>
          </w:p>
        </w:tc>
      </w:tr>
      <w:tr w14:paraId="3ADA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07" w:type="dxa"/>
            <w:vAlign w:val="center"/>
          </w:tcPr>
          <w:p w14:paraId="4AB7C654">
            <w:pPr>
              <w:snapToGrid w:val="0"/>
              <w:spacing w:line="360" w:lineRule="auto"/>
              <w:jc w:val="center"/>
              <w:rPr>
                <w:rFonts w:hint="eastAsia" w:ascii="宋体" w:hAnsi="宋体" w:cs="宋体"/>
                <w:bCs/>
                <w:szCs w:val="21"/>
              </w:rPr>
            </w:pPr>
            <w:r>
              <w:rPr>
                <w:rFonts w:hint="eastAsia" w:ascii="宋体" w:hAnsi="宋体" w:cs="宋体"/>
                <w:bCs/>
                <w:szCs w:val="21"/>
              </w:rPr>
              <w:t>2</w:t>
            </w:r>
          </w:p>
        </w:tc>
        <w:tc>
          <w:tcPr>
            <w:tcW w:w="1067" w:type="dxa"/>
            <w:vAlign w:val="center"/>
          </w:tcPr>
          <w:p w14:paraId="252ABED1">
            <w:pPr>
              <w:widowControl/>
              <w:snapToGrid w:val="0"/>
              <w:spacing w:line="360" w:lineRule="auto"/>
              <w:jc w:val="center"/>
              <w:rPr>
                <w:rFonts w:hint="eastAsia" w:ascii="宋体" w:hAnsi="宋体" w:cs="宋体"/>
                <w:bCs/>
                <w:szCs w:val="21"/>
              </w:rPr>
            </w:pPr>
            <w:r>
              <w:rPr>
                <w:rFonts w:hint="eastAsia" w:ascii="宋体" w:hAnsi="宋体" w:cs="宋体"/>
                <w:bCs/>
                <w:szCs w:val="21"/>
              </w:rPr>
              <w:t>商务部分</w:t>
            </w:r>
          </w:p>
          <w:p w14:paraId="612154A8">
            <w:pPr>
              <w:snapToGrid w:val="0"/>
              <w:spacing w:line="360" w:lineRule="auto"/>
              <w:jc w:val="center"/>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20</w:t>
            </w:r>
            <w:r>
              <w:rPr>
                <w:rFonts w:hint="eastAsia" w:ascii="宋体" w:hAnsi="宋体" w:cs="宋体"/>
                <w:bCs/>
                <w:szCs w:val="21"/>
              </w:rPr>
              <w:t>分)</w:t>
            </w:r>
          </w:p>
        </w:tc>
        <w:tc>
          <w:tcPr>
            <w:tcW w:w="6210" w:type="dxa"/>
            <w:tcBorders>
              <w:bottom w:val="single" w:color="auto" w:sz="4" w:space="0"/>
            </w:tcBorders>
            <w:vAlign w:val="center"/>
          </w:tcPr>
          <w:p w14:paraId="6059A21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szCs w:val="21"/>
              </w:rPr>
            </w:pPr>
            <w:r>
              <w:rPr>
                <w:rFonts w:hint="eastAsia" w:ascii="宋体" w:hAnsi="宋体" w:cs="宋体"/>
                <w:szCs w:val="21"/>
              </w:rPr>
              <w:t>投标人提供类似项目业绩：提供合同或中标通知书复印件，每提供一份得</w:t>
            </w:r>
            <w:r>
              <w:rPr>
                <w:rFonts w:hint="eastAsia" w:ascii="宋体" w:hAnsi="宋体" w:cs="宋体"/>
                <w:szCs w:val="21"/>
                <w:lang w:val="en-US" w:eastAsia="zh-CN"/>
              </w:rPr>
              <w:t>4</w:t>
            </w:r>
            <w:r>
              <w:rPr>
                <w:rFonts w:hint="eastAsia" w:ascii="宋体" w:hAnsi="宋体" w:cs="宋体"/>
                <w:szCs w:val="21"/>
              </w:rPr>
              <w:t>分，最多得</w:t>
            </w:r>
            <w:r>
              <w:rPr>
                <w:rFonts w:hint="eastAsia" w:ascii="宋体" w:hAnsi="宋体" w:cs="宋体"/>
                <w:szCs w:val="21"/>
                <w:lang w:val="en-US" w:eastAsia="zh-CN"/>
              </w:rPr>
              <w:t>20</w:t>
            </w:r>
            <w:r>
              <w:rPr>
                <w:rFonts w:hint="eastAsia" w:ascii="宋体" w:hAnsi="宋体" w:cs="宋体"/>
                <w:szCs w:val="21"/>
              </w:rPr>
              <w:t>分。（满分</w:t>
            </w:r>
            <w:r>
              <w:rPr>
                <w:rFonts w:hint="eastAsia" w:ascii="宋体" w:hAnsi="宋体" w:cs="宋体"/>
                <w:szCs w:val="21"/>
                <w:lang w:val="en-US" w:eastAsia="zh-CN"/>
              </w:rPr>
              <w:t>20</w:t>
            </w:r>
            <w:r>
              <w:rPr>
                <w:rFonts w:hint="eastAsia" w:ascii="宋体" w:hAnsi="宋体" w:cs="宋体"/>
                <w:szCs w:val="21"/>
              </w:rPr>
              <w:t>分）</w:t>
            </w:r>
          </w:p>
        </w:tc>
        <w:tc>
          <w:tcPr>
            <w:tcW w:w="721" w:type="dxa"/>
            <w:vAlign w:val="center"/>
          </w:tcPr>
          <w:p w14:paraId="1881AE33">
            <w:pPr>
              <w:snapToGrid w:val="0"/>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20</w:t>
            </w:r>
          </w:p>
        </w:tc>
      </w:tr>
      <w:tr w14:paraId="0219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07" w:type="dxa"/>
            <w:vMerge w:val="restart"/>
            <w:vAlign w:val="center"/>
          </w:tcPr>
          <w:p w14:paraId="5C40188C">
            <w:pPr>
              <w:snapToGrid w:val="0"/>
              <w:spacing w:line="360" w:lineRule="auto"/>
              <w:jc w:val="center"/>
              <w:rPr>
                <w:rFonts w:hint="eastAsia" w:ascii="宋体" w:hAnsi="宋体" w:cs="宋体"/>
                <w:bCs/>
                <w:szCs w:val="21"/>
              </w:rPr>
            </w:pPr>
          </w:p>
        </w:tc>
        <w:tc>
          <w:tcPr>
            <w:tcW w:w="1067" w:type="dxa"/>
            <w:vMerge w:val="restart"/>
            <w:vAlign w:val="center"/>
          </w:tcPr>
          <w:p w14:paraId="4B2D00C9">
            <w:pPr>
              <w:spacing w:line="360" w:lineRule="auto"/>
              <w:jc w:val="center"/>
              <w:rPr>
                <w:rFonts w:hint="eastAsia" w:ascii="宋体" w:hAnsi="宋体" w:cs="宋体"/>
                <w:bCs/>
                <w:kern w:val="0"/>
                <w:szCs w:val="21"/>
                <w:lang w:bidi="ar"/>
              </w:rPr>
            </w:pPr>
          </w:p>
          <w:p w14:paraId="170D69E7">
            <w:pPr>
              <w:spacing w:line="360" w:lineRule="auto"/>
              <w:jc w:val="center"/>
              <w:rPr>
                <w:rFonts w:hint="eastAsia" w:ascii="宋体" w:hAnsi="宋体" w:cs="宋体"/>
                <w:bCs/>
                <w:kern w:val="0"/>
                <w:szCs w:val="21"/>
                <w:lang w:bidi="ar"/>
              </w:rPr>
            </w:pPr>
          </w:p>
          <w:p w14:paraId="412BC911">
            <w:pPr>
              <w:spacing w:line="360" w:lineRule="auto"/>
              <w:jc w:val="center"/>
              <w:rPr>
                <w:rFonts w:hint="eastAsia" w:ascii="宋体" w:hAnsi="宋体" w:cs="宋体"/>
                <w:bCs/>
                <w:kern w:val="0"/>
                <w:szCs w:val="21"/>
                <w:lang w:bidi="ar"/>
              </w:rPr>
            </w:pPr>
          </w:p>
          <w:p w14:paraId="482A9FEA">
            <w:pPr>
              <w:spacing w:line="360" w:lineRule="auto"/>
              <w:jc w:val="center"/>
              <w:rPr>
                <w:rFonts w:hint="eastAsia" w:ascii="宋体" w:hAnsi="宋体" w:cs="宋体"/>
                <w:bCs/>
                <w:kern w:val="0"/>
                <w:szCs w:val="21"/>
                <w:lang w:bidi="ar"/>
              </w:rPr>
            </w:pPr>
          </w:p>
          <w:p w14:paraId="27C53C0E">
            <w:pPr>
              <w:spacing w:line="360" w:lineRule="auto"/>
              <w:jc w:val="center"/>
              <w:rPr>
                <w:rFonts w:hint="eastAsia" w:ascii="宋体" w:hAnsi="宋体" w:cs="宋体"/>
                <w:bCs/>
                <w:kern w:val="0"/>
                <w:szCs w:val="21"/>
                <w:lang w:bidi="ar"/>
              </w:rPr>
            </w:pPr>
          </w:p>
          <w:p w14:paraId="1BE0151B">
            <w:pPr>
              <w:spacing w:line="360" w:lineRule="auto"/>
              <w:jc w:val="center"/>
              <w:rPr>
                <w:rFonts w:hint="eastAsia" w:ascii="宋体" w:hAnsi="宋体" w:cs="宋体"/>
                <w:bCs/>
                <w:kern w:val="0"/>
                <w:szCs w:val="21"/>
                <w:lang w:bidi="ar"/>
              </w:rPr>
            </w:pPr>
          </w:p>
          <w:p w14:paraId="535A7A2B">
            <w:pPr>
              <w:spacing w:line="360" w:lineRule="auto"/>
              <w:jc w:val="center"/>
              <w:rPr>
                <w:rFonts w:hint="eastAsia" w:ascii="宋体" w:hAnsi="宋体" w:cs="宋体"/>
                <w:bCs/>
                <w:kern w:val="0"/>
                <w:szCs w:val="21"/>
                <w:lang w:bidi="ar"/>
              </w:rPr>
            </w:pPr>
          </w:p>
          <w:p w14:paraId="46AB4C74">
            <w:pPr>
              <w:spacing w:line="360" w:lineRule="auto"/>
              <w:jc w:val="center"/>
              <w:rPr>
                <w:rFonts w:hint="eastAsia" w:ascii="宋体" w:hAnsi="宋体" w:cs="宋体"/>
                <w:bCs/>
                <w:kern w:val="0"/>
                <w:szCs w:val="21"/>
                <w:lang w:bidi="ar"/>
              </w:rPr>
            </w:pPr>
          </w:p>
          <w:p w14:paraId="7F26F64F">
            <w:pPr>
              <w:spacing w:line="360" w:lineRule="auto"/>
              <w:jc w:val="center"/>
              <w:rPr>
                <w:rFonts w:hint="eastAsia" w:ascii="宋体" w:hAnsi="宋体" w:cs="宋体"/>
                <w:bCs/>
                <w:kern w:val="0"/>
                <w:szCs w:val="21"/>
                <w:lang w:bidi="ar"/>
              </w:rPr>
            </w:pPr>
          </w:p>
          <w:p w14:paraId="5E04ED3A">
            <w:pPr>
              <w:spacing w:line="360" w:lineRule="auto"/>
              <w:jc w:val="center"/>
              <w:rPr>
                <w:rFonts w:hint="eastAsia" w:ascii="宋体" w:hAnsi="宋体" w:cs="宋体"/>
                <w:bCs/>
                <w:kern w:val="0"/>
                <w:szCs w:val="21"/>
                <w:lang w:bidi="ar"/>
              </w:rPr>
            </w:pPr>
          </w:p>
          <w:p w14:paraId="2A3DAD51">
            <w:pPr>
              <w:spacing w:line="360" w:lineRule="auto"/>
              <w:jc w:val="center"/>
              <w:rPr>
                <w:rFonts w:hint="eastAsia" w:ascii="宋体" w:hAnsi="宋体" w:cs="宋体"/>
                <w:bCs/>
                <w:kern w:val="0"/>
                <w:szCs w:val="21"/>
                <w:lang w:bidi="ar"/>
              </w:rPr>
            </w:pPr>
          </w:p>
          <w:p w14:paraId="4DFE204F">
            <w:pPr>
              <w:spacing w:line="360" w:lineRule="auto"/>
              <w:jc w:val="center"/>
              <w:rPr>
                <w:rFonts w:hint="eastAsia" w:ascii="宋体" w:hAnsi="宋体" w:cs="宋体"/>
                <w:bCs/>
                <w:kern w:val="0"/>
                <w:szCs w:val="21"/>
                <w:lang w:bidi="ar"/>
              </w:rPr>
            </w:pPr>
            <w:r>
              <w:rPr>
                <w:rFonts w:hint="eastAsia" w:ascii="宋体" w:hAnsi="宋体" w:cs="宋体"/>
                <w:bCs/>
                <w:kern w:val="0"/>
                <w:szCs w:val="21"/>
                <w:lang w:bidi="ar"/>
              </w:rPr>
              <w:t>技术部分</w:t>
            </w:r>
          </w:p>
          <w:p w14:paraId="18AAA626">
            <w:pPr>
              <w:spacing w:line="360" w:lineRule="auto"/>
              <w:jc w:val="center"/>
              <w:rPr>
                <w:rFonts w:hint="eastAsia" w:ascii="宋体" w:hAnsi="宋体" w:cs="宋体"/>
                <w:bCs/>
                <w:kern w:val="0"/>
                <w:szCs w:val="21"/>
                <w:lang w:bidi="ar"/>
              </w:rPr>
            </w:pPr>
            <w:r>
              <w:rPr>
                <w:rFonts w:hint="eastAsia" w:hAnsi="宋体" w:cs="宋体"/>
                <w:bCs/>
                <w:kern w:val="0"/>
                <w:szCs w:val="21"/>
                <w:lang w:bidi="ar"/>
              </w:rPr>
              <w:t>（</w:t>
            </w:r>
            <w:r>
              <w:rPr>
                <w:rFonts w:hint="eastAsia" w:hAnsi="宋体" w:cs="宋体"/>
                <w:bCs/>
                <w:kern w:val="0"/>
                <w:szCs w:val="21"/>
                <w:lang w:val="en-US" w:eastAsia="zh-CN" w:bidi="ar"/>
              </w:rPr>
              <w:t>40</w:t>
            </w:r>
            <w:r>
              <w:rPr>
                <w:rFonts w:hint="eastAsia" w:hAnsi="宋体" w:cs="宋体"/>
                <w:bCs/>
                <w:kern w:val="0"/>
                <w:szCs w:val="21"/>
                <w:lang w:bidi="ar"/>
              </w:rPr>
              <w:t>分）</w:t>
            </w:r>
          </w:p>
          <w:p w14:paraId="17876F17">
            <w:pPr>
              <w:spacing w:line="360" w:lineRule="auto"/>
              <w:jc w:val="center"/>
              <w:rPr>
                <w:rFonts w:hint="eastAsia" w:ascii="宋体" w:hAnsi="宋体" w:cs="宋体"/>
                <w:bCs/>
                <w:kern w:val="0"/>
                <w:szCs w:val="21"/>
                <w:lang w:bidi="ar"/>
              </w:rPr>
            </w:pPr>
          </w:p>
          <w:p w14:paraId="75D45B77">
            <w:pPr>
              <w:spacing w:line="360" w:lineRule="auto"/>
              <w:jc w:val="center"/>
              <w:rPr>
                <w:rFonts w:hint="eastAsia" w:ascii="宋体" w:hAnsi="宋体" w:cs="宋体"/>
                <w:bCs/>
                <w:kern w:val="0"/>
                <w:szCs w:val="21"/>
                <w:lang w:bidi="ar"/>
              </w:rPr>
            </w:pPr>
          </w:p>
          <w:p w14:paraId="245FB770">
            <w:pPr>
              <w:spacing w:line="360" w:lineRule="auto"/>
              <w:jc w:val="center"/>
              <w:rPr>
                <w:rFonts w:hint="eastAsia" w:ascii="宋体" w:hAnsi="宋体" w:cs="宋体"/>
                <w:bCs/>
                <w:kern w:val="0"/>
                <w:szCs w:val="21"/>
                <w:lang w:bidi="ar"/>
              </w:rPr>
            </w:pPr>
          </w:p>
          <w:p w14:paraId="7DAF6D1F">
            <w:pPr>
              <w:spacing w:line="360" w:lineRule="auto"/>
              <w:jc w:val="center"/>
              <w:rPr>
                <w:rFonts w:hint="eastAsia" w:ascii="宋体" w:hAnsi="宋体" w:cs="宋体"/>
                <w:bCs/>
                <w:kern w:val="0"/>
                <w:szCs w:val="21"/>
                <w:lang w:bidi="ar"/>
              </w:rPr>
            </w:pPr>
          </w:p>
          <w:p w14:paraId="0DC65533">
            <w:pPr>
              <w:spacing w:line="360" w:lineRule="auto"/>
              <w:jc w:val="center"/>
              <w:rPr>
                <w:rFonts w:hint="eastAsia" w:ascii="宋体" w:hAnsi="宋体" w:cs="宋体"/>
                <w:bCs/>
                <w:kern w:val="0"/>
                <w:szCs w:val="21"/>
                <w:lang w:bidi="ar"/>
              </w:rPr>
            </w:pPr>
          </w:p>
          <w:p w14:paraId="37A7B131">
            <w:pPr>
              <w:spacing w:line="360" w:lineRule="auto"/>
              <w:jc w:val="center"/>
              <w:rPr>
                <w:rFonts w:hint="eastAsia" w:ascii="宋体" w:hAnsi="宋体" w:cs="宋体"/>
                <w:bCs/>
                <w:kern w:val="0"/>
                <w:szCs w:val="21"/>
                <w:lang w:bidi="ar"/>
              </w:rPr>
            </w:pPr>
          </w:p>
          <w:p w14:paraId="37610DC7">
            <w:pPr>
              <w:spacing w:line="360" w:lineRule="auto"/>
              <w:jc w:val="center"/>
              <w:rPr>
                <w:rFonts w:hint="eastAsia" w:ascii="宋体" w:hAnsi="宋体" w:cs="宋体"/>
                <w:bCs/>
                <w:kern w:val="0"/>
                <w:szCs w:val="21"/>
                <w:lang w:bidi="ar"/>
              </w:rPr>
            </w:pPr>
          </w:p>
          <w:p w14:paraId="2F19433C">
            <w:pPr>
              <w:snapToGrid w:val="0"/>
              <w:spacing w:line="360" w:lineRule="auto"/>
              <w:jc w:val="center"/>
              <w:rPr>
                <w:rFonts w:hint="eastAsia" w:ascii="宋体" w:hAnsi="宋体" w:cs="宋体"/>
                <w:bCs/>
                <w:szCs w:val="21"/>
              </w:rPr>
            </w:pPr>
          </w:p>
        </w:tc>
        <w:tc>
          <w:tcPr>
            <w:tcW w:w="6210" w:type="dxa"/>
            <w:vAlign w:val="center"/>
          </w:tcPr>
          <w:p w14:paraId="4577EC57">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1.实施方案编制的全面性（满分</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14:paraId="0EF7D632">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投标人根据采购人的实际情况，制定切实可行的整体服务实施方案，包括但不限于对项目需求理解程度、工作部署、资源配置、进度保证等重点内容。方案详细全面、可行性强的得</w:t>
            </w:r>
            <w:r>
              <w:rPr>
                <w:rFonts w:hint="eastAsia" w:ascii="宋体" w:hAnsi="宋体" w:cs="宋体"/>
                <w:color w:val="auto"/>
                <w:sz w:val="21"/>
                <w:szCs w:val="21"/>
                <w:lang w:val="en-US" w:eastAsia="zh-CN"/>
              </w:rPr>
              <w:t>3</w:t>
            </w:r>
            <w:r>
              <w:rPr>
                <w:rFonts w:hint="eastAsia" w:ascii="宋体" w:hAnsi="宋体" w:cs="宋体"/>
                <w:color w:val="auto"/>
                <w:sz w:val="21"/>
                <w:szCs w:val="21"/>
              </w:rPr>
              <w:t>分；方案完整、可行性一般的得</w:t>
            </w:r>
            <w:r>
              <w:rPr>
                <w:rFonts w:hint="eastAsia" w:ascii="宋体" w:hAnsi="宋体" w:cs="宋体"/>
                <w:color w:val="auto"/>
                <w:sz w:val="21"/>
                <w:szCs w:val="21"/>
                <w:lang w:val="en-US" w:eastAsia="zh-CN"/>
              </w:rPr>
              <w:t>2</w:t>
            </w:r>
            <w:r>
              <w:rPr>
                <w:rFonts w:hint="eastAsia" w:ascii="宋体" w:hAnsi="宋体" w:cs="宋体"/>
                <w:color w:val="auto"/>
                <w:sz w:val="21"/>
                <w:szCs w:val="21"/>
              </w:rPr>
              <w:t>分；方案简略、可行性差的得1分；</w:t>
            </w:r>
          </w:p>
          <w:p w14:paraId="06F97F9C">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其他不得分。</w:t>
            </w:r>
          </w:p>
          <w:p w14:paraId="67081637">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2.实施方案编制的合理性（满分</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14:paraId="061D1782">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投标人对本项目的总体工作部署具体清晰、技术路线正确；总体工作思路切合本项目实际情况，科学合理，可行性强的得</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14:paraId="7C44715C">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投标人对本项目的总体工作部署较清晰；总体工作思路基本切合本项目实际情况，合理，可行性好的得</w:t>
            </w:r>
            <w:r>
              <w:rPr>
                <w:rFonts w:hint="eastAsia" w:ascii="宋体" w:hAnsi="宋体" w:cs="宋体"/>
                <w:color w:val="auto"/>
                <w:sz w:val="21"/>
                <w:szCs w:val="21"/>
                <w:lang w:val="en-US" w:eastAsia="zh-CN"/>
              </w:rPr>
              <w:t>2</w:t>
            </w:r>
            <w:r>
              <w:rPr>
                <w:rFonts w:hint="eastAsia" w:ascii="宋体" w:hAnsi="宋体" w:cs="宋体"/>
                <w:color w:val="auto"/>
                <w:sz w:val="21"/>
                <w:szCs w:val="21"/>
              </w:rPr>
              <w:t>分；</w:t>
            </w:r>
          </w:p>
          <w:p w14:paraId="72B85EF3">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投标人对本项目的总体工作部署不清晰；总体工作思路不够切合本项目实际情况，可行性差的1分；</w:t>
            </w:r>
          </w:p>
          <w:p w14:paraId="351DC598">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其他不得分。</w:t>
            </w:r>
          </w:p>
          <w:p w14:paraId="774632EC">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3.实施方案编制的针对性（满分</w:t>
            </w:r>
            <w:r>
              <w:rPr>
                <w:rFonts w:hint="eastAsia" w:ascii="宋体" w:hAnsi="宋体" w:cs="宋体"/>
                <w:color w:val="auto"/>
                <w:sz w:val="21"/>
                <w:szCs w:val="21"/>
                <w:lang w:val="en-US" w:eastAsia="zh-CN"/>
              </w:rPr>
              <w:t>4</w:t>
            </w:r>
            <w:r>
              <w:rPr>
                <w:rFonts w:hint="eastAsia" w:ascii="宋体" w:hAnsi="宋体" w:cs="宋体"/>
                <w:color w:val="auto"/>
                <w:sz w:val="21"/>
                <w:szCs w:val="21"/>
              </w:rPr>
              <w:t>分）</w:t>
            </w:r>
          </w:p>
          <w:p w14:paraId="782ED672">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投标人对本项目工作中的关键问题分析全面、准确、清晰；相应对策及建议合理、可行、可靠得</w:t>
            </w:r>
            <w:r>
              <w:rPr>
                <w:rFonts w:hint="eastAsia" w:ascii="宋体" w:hAnsi="宋体" w:cs="宋体"/>
                <w:color w:val="auto"/>
                <w:sz w:val="21"/>
                <w:szCs w:val="21"/>
                <w:lang w:val="en-US" w:eastAsia="zh-CN"/>
              </w:rPr>
              <w:t>4</w:t>
            </w:r>
            <w:r>
              <w:rPr>
                <w:rFonts w:hint="eastAsia" w:ascii="宋体" w:hAnsi="宋体" w:cs="宋体"/>
                <w:color w:val="auto"/>
                <w:sz w:val="21"/>
                <w:szCs w:val="21"/>
              </w:rPr>
              <w:t>分；</w:t>
            </w:r>
          </w:p>
          <w:p w14:paraId="72598A8D">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投标人对本项目工作中的关键问题分析较全面、准确、清晰；措施及建议较合理、可靠得</w:t>
            </w:r>
            <w:r>
              <w:rPr>
                <w:rFonts w:hint="eastAsia" w:ascii="宋体" w:hAnsi="宋体" w:cs="宋体"/>
                <w:color w:val="auto"/>
                <w:sz w:val="21"/>
                <w:szCs w:val="21"/>
                <w:lang w:val="en-US" w:eastAsia="zh-CN"/>
              </w:rPr>
              <w:t>2</w:t>
            </w:r>
            <w:r>
              <w:rPr>
                <w:rFonts w:hint="eastAsia" w:ascii="宋体" w:hAnsi="宋体" w:cs="宋体"/>
                <w:color w:val="auto"/>
                <w:sz w:val="21"/>
                <w:szCs w:val="21"/>
              </w:rPr>
              <w:t>分；</w:t>
            </w:r>
          </w:p>
          <w:p w14:paraId="35F447EF">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投标人对本项目工作中的关键问题分析一般；措施及建议基本合理的得</w:t>
            </w:r>
            <w:r>
              <w:rPr>
                <w:rFonts w:hint="eastAsia" w:ascii="宋体" w:hAnsi="宋体" w:cs="宋体"/>
                <w:color w:val="auto"/>
                <w:sz w:val="21"/>
                <w:szCs w:val="21"/>
                <w:lang w:val="en-US" w:eastAsia="zh-CN"/>
              </w:rPr>
              <w:t>1</w:t>
            </w:r>
            <w:r>
              <w:rPr>
                <w:rFonts w:hint="eastAsia" w:ascii="宋体" w:hAnsi="宋体" w:cs="宋体"/>
                <w:color w:val="auto"/>
                <w:sz w:val="21"/>
                <w:szCs w:val="21"/>
              </w:rPr>
              <w:t>分；</w:t>
            </w:r>
          </w:p>
          <w:p w14:paraId="19CD6644">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其他不得分。</w:t>
            </w:r>
          </w:p>
        </w:tc>
        <w:tc>
          <w:tcPr>
            <w:tcW w:w="721" w:type="dxa"/>
            <w:vAlign w:val="center"/>
          </w:tcPr>
          <w:p w14:paraId="5A510BD8">
            <w:pPr>
              <w:snapToGrid w:val="0"/>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10</w:t>
            </w:r>
          </w:p>
        </w:tc>
      </w:tr>
      <w:tr w14:paraId="3DB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7" w:type="dxa"/>
            <w:vMerge w:val="continue"/>
            <w:vAlign w:val="center"/>
          </w:tcPr>
          <w:p w14:paraId="6A02B1E8">
            <w:pPr>
              <w:snapToGrid w:val="0"/>
              <w:spacing w:line="360" w:lineRule="auto"/>
              <w:jc w:val="center"/>
              <w:rPr>
                <w:rFonts w:hint="eastAsia" w:ascii="宋体" w:hAnsi="宋体" w:cs="宋体"/>
                <w:bCs/>
                <w:szCs w:val="21"/>
              </w:rPr>
            </w:pPr>
          </w:p>
        </w:tc>
        <w:tc>
          <w:tcPr>
            <w:tcW w:w="1067" w:type="dxa"/>
            <w:vMerge w:val="continue"/>
            <w:vAlign w:val="center"/>
          </w:tcPr>
          <w:p w14:paraId="59E48883">
            <w:pPr>
              <w:snapToGrid w:val="0"/>
              <w:spacing w:line="360" w:lineRule="auto"/>
              <w:jc w:val="center"/>
              <w:rPr>
                <w:rFonts w:hint="eastAsia" w:ascii="宋体" w:hAnsi="宋体" w:cs="宋体"/>
                <w:bCs/>
                <w:szCs w:val="21"/>
              </w:rPr>
            </w:pPr>
          </w:p>
        </w:tc>
        <w:tc>
          <w:tcPr>
            <w:tcW w:w="6210" w:type="dxa"/>
            <w:vAlign w:val="center"/>
          </w:tcPr>
          <w:p w14:paraId="711D8B6C">
            <w:pPr>
              <w:pStyle w:val="7"/>
              <w:keepNext w:val="0"/>
              <w:keepLines w:val="0"/>
              <w:pageBreakBefore w:val="0"/>
              <w:widowControl w:val="0"/>
              <w:shd w:val="clear" w:color="auto" w:fill="auto"/>
              <w:kinsoku/>
              <w:wordWrap/>
              <w:overflowPunct/>
              <w:topLinePunct/>
              <w:autoSpaceDE/>
              <w:autoSpaceDN/>
              <w:bidi w:val="0"/>
              <w:adjustRightInd/>
              <w:spacing w:after="0" w:line="240" w:lineRule="auto"/>
              <w:ind w:firstLine="420" w:firstLineChars="200"/>
              <w:textAlignment w:val="auto"/>
              <w:outlineLvl w:val="9"/>
              <w:rPr>
                <w:rFonts w:hint="eastAsia" w:ascii="宋体" w:hAnsi="宋体" w:eastAsia="宋体" w:cs="宋体"/>
                <w:bCs/>
                <w:spacing w:val="0"/>
                <w:kern w:val="0"/>
                <w:sz w:val="21"/>
                <w:szCs w:val="21"/>
                <w:lang w:bidi="ar"/>
              </w:rPr>
            </w:pPr>
            <w:r>
              <w:rPr>
                <w:rFonts w:hint="eastAsia" w:ascii="宋体" w:hAnsi="宋体" w:eastAsia="宋体" w:cs="宋体"/>
                <w:bCs/>
                <w:spacing w:val="0"/>
                <w:kern w:val="0"/>
                <w:sz w:val="21"/>
                <w:szCs w:val="21"/>
                <w:lang w:bidi="ar"/>
              </w:rPr>
              <w:t>保密措施：</w:t>
            </w:r>
          </w:p>
          <w:p w14:paraId="67078308">
            <w:pPr>
              <w:pStyle w:val="7"/>
              <w:keepNext w:val="0"/>
              <w:keepLines w:val="0"/>
              <w:pageBreakBefore w:val="0"/>
              <w:widowControl w:val="0"/>
              <w:shd w:val="clear" w:color="auto" w:fill="auto"/>
              <w:kinsoku/>
              <w:wordWrap/>
              <w:overflowPunct/>
              <w:topLinePunct/>
              <w:autoSpaceDE/>
              <w:autoSpaceDN/>
              <w:bidi w:val="0"/>
              <w:adjustRightInd/>
              <w:spacing w:after="0" w:line="240" w:lineRule="auto"/>
              <w:ind w:firstLine="420" w:firstLineChars="200"/>
              <w:textAlignment w:val="auto"/>
              <w:outlineLvl w:val="9"/>
              <w:rPr>
                <w:rFonts w:hint="eastAsia" w:ascii="宋体" w:hAnsi="宋体" w:eastAsia="宋体" w:cs="宋体"/>
                <w:bCs/>
                <w:spacing w:val="0"/>
                <w:kern w:val="0"/>
                <w:sz w:val="21"/>
                <w:szCs w:val="21"/>
                <w:lang w:bidi="ar"/>
              </w:rPr>
            </w:pPr>
            <w:r>
              <w:rPr>
                <w:rFonts w:hint="eastAsia" w:ascii="宋体" w:hAnsi="宋体" w:eastAsia="宋体" w:cs="宋体"/>
                <w:bCs/>
                <w:spacing w:val="0"/>
                <w:kern w:val="0"/>
                <w:sz w:val="21"/>
                <w:szCs w:val="21"/>
                <w:lang w:bidi="ar"/>
              </w:rPr>
              <w:t>1.保密措施详细完善、科学可行的得10分；</w:t>
            </w:r>
          </w:p>
          <w:p w14:paraId="46277A96">
            <w:pPr>
              <w:pStyle w:val="7"/>
              <w:keepNext w:val="0"/>
              <w:keepLines w:val="0"/>
              <w:pageBreakBefore w:val="0"/>
              <w:widowControl w:val="0"/>
              <w:shd w:val="clear" w:color="auto" w:fill="auto"/>
              <w:kinsoku/>
              <w:wordWrap/>
              <w:overflowPunct/>
              <w:topLinePunct/>
              <w:autoSpaceDE/>
              <w:autoSpaceDN/>
              <w:bidi w:val="0"/>
              <w:adjustRightInd/>
              <w:spacing w:after="0" w:line="240" w:lineRule="auto"/>
              <w:ind w:firstLine="420" w:firstLineChars="200"/>
              <w:textAlignment w:val="auto"/>
              <w:outlineLvl w:val="9"/>
              <w:rPr>
                <w:rFonts w:hint="eastAsia" w:ascii="宋体" w:hAnsi="宋体" w:eastAsia="宋体" w:cs="宋体"/>
                <w:bCs/>
                <w:spacing w:val="0"/>
                <w:kern w:val="0"/>
                <w:sz w:val="21"/>
                <w:szCs w:val="21"/>
                <w:lang w:bidi="ar"/>
              </w:rPr>
            </w:pPr>
            <w:r>
              <w:rPr>
                <w:rFonts w:hint="eastAsia" w:ascii="宋体" w:hAnsi="宋体" w:eastAsia="宋体" w:cs="宋体"/>
                <w:bCs/>
                <w:spacing w:val="0"/>
                <w:kern w:val="0"/>
                <w:sz w:val="21"/>
                <w:szCs w:val="21"/>
                <w:lang w:bidi="ar"/>
              </w:rPr>
              <w:t>2.措施基本完善、基本可行的得5分；</w:t>
            </w:r>
          </w:p>
          <w:p w14:paraId="695D5B92">
            <w:pPr>
              <w:pStyle w:val="3"/>
              <w:keepNext w:val="0"/>
              <w:keepLines w:val="0"/>
              <w:pageBreakBefore w:val="0"/>
              <w:widowControl w:val="0"/>
              <w:kinsoku/>
              <w:wordWrap/>
              <w:overflowPunct/>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bCs/>
                <w:color w:val="auto"/>
                <w:kern w:val="0"/>
                <w:sz w:val="21"/>
                <w:szCs w:val="21"/>
                <w:lang w:bidi="ar"/>
              </w:rPr>
              <w:t>3.没有保密措施不得分。</w:t>
            </w:r>
          </w:p>
        </w:tc>
        <w:tc>
          <w:tcPr>
            <w:tcW w:w="721" w:type="dxa"/>
            <w:vAlign w:val="center"/>
          </w:tcPr>
          <w:p w14:paraId="27234854">
            <w:pPr>
              <w:snapToGrid w:val="0"/>
              <w:spacing w:line="360" w:lineRule="auto"/>
              <w:jc w:val="center"/>
              <w:rPr>
                <w:rFonts w:ascii="宋体" w:hAnsi="宋体" w:cs="宋体"/>
                <w:bCs/>
                <w:szCs w:val="21"/>
              </w:rPr>
            </w:pPr>
            <w:r>
              <w:rPr>
                <w:rFonts w:hint="eastAsia" w:ascii="宋体" w:hAnsi="宋体" w:cs="宋体"/>
                <w:bCs/>
                <w:szCs w:val="21"/>
              </w:rPr>
              <w:t>10</w:t>
            </w:r>
          </w:p>
        </w:tc>
      </w:tr>
      <w:tr w14:paraId="0A31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7" w:type="dxa"/>
            <w:vMerge w:val="continue"/>
            <w:vAlign w:val="center"/>
          </w:tcPr>
          <w:p w14:paraId="6009DC30">
            <w:pPr>
              <w:snapToGrid w:val="0"/>
              <w:spacing w:line="360" w:lineRule="auto"/>
              <w:jc w:val="center"/>
              <w:rPr>
                <w:rFonts w:hint="eastAsia" w:ascii="宋体" w:hAnsi="宋体" w:cs="宋体"/>
                <w:bCs/>
                <w:szCs w:val="21"/>
              </w:rPr>
            </w:pPr>
          </w:p>
        </w:tc>
        <w:tc>
          <w:tcPr>
            <w:tcW w:w="1067" w:type="dxa"/>
            <w:vMerge w:val="continue"/>
            <w:vAlign w:val="center"/>
          </w:tcPr>
          <w:p w14:paraId="74F3A19E">
            <w:pPr>
              <w:snapToGrid w:val="0"/>
              <w:spacing w:line="360" w:lineRule="auto"/>
              <w:jc w:val="center"/>
              <w:rPr>
                <w:rFonts w:hint="eastAsia" w:ascii="宋体" w:hAnsi="宋体" w:cs="宋体"/>
                <w:bCs/>
                <w:szCs w:val="21"/>
              </w:rPr>
            </w:pPr>
          </w:p>
        </w:tc>
        <w:tc>
          <w:tcPr>
            <w:tcW w:w="6210" w:type="dxa"/>
            <w:vAlign w:val="center"/>
          </w:tcPr>
          <w:p w14:paraId="76C43E81">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内控制度：</w:t>
            </w:r>
          </w:p>
          <w:p w14:paraId="11D79582">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投标人提供与本项目相关的内部管理制度，根据制度的科学性、合理性、可实施性进行综合打分。</w:t>
            </w:r>
          </w:p>
          <w:p w14:paraId="22A0DF50">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内部管理制度科学完善、质量控制措施可实施性强的得10分；</w:t>
            </w:r>
          </w:p>
          <w:p w14:paraId="106EFD9C">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内部管理制度完整、质量控制措施可实施性好的得6分。</w:t>
            </w:r>
          </w:p>
          <w:p w14:paraId="6DDA9909">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内部管理制度简略、质量控制措施可实施性弱的得3分；</w:t>
            </w:r>
          </w:p>
          <w:p w14:paraId="18320DEE">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其他不得分。</w:t>
            </w:r>
          </w:p>
        </w:tc>
        <w:tc>
          <w:tcPr>
            <w:tcW w:w="721" w:type="dxa"/>
            <w:vAlign w:val="center"/>
          </w:tcPr>
          <w:p w14:paraId="4770C0CB">
            <w:pPr>
              <w:snapToGrid w:val="0"/>
              <w:spacing w:line="360" w:lineRule="auto"/>
              <w:jc w:val="center"/>
              <w:rPr>
                <w:rFonts w:ascii="宋体" w:hAnsi="宋体" w:cs="宋体"/>
                <w:bCs/>
                <w:szCs w:val="21"/>
              </w:rPr>
            </w:pPr>
            <w:r>
              <w:rPr>
                <w:rFonts w:hint="eastAsia" w:ascii="宋体" w:hAnsi="宋体" w:cs="宋体"/>
                <w:bCs/>
                <w:szCs w:val="21"/>
              </w:rPr>
              <w:t>10</w:t>
            </w:r>
          </w:p>
        </w:tc>
      </w:tr>
      <w:tr w14:paraId="47C0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7" w:type="dxa"/>
            <w:vMerge w:val="continue"/>
            <w:vAlign w:val="center"/>
          </w:tcPr>
          <w:p w14:paraId="20C1258E">
            <w:pPr>
              <w:snapToGrid w:val="0"/>
              <w:spacing w:line="360" w:lineRule="auto"/>
              <w:jc w:val="center"/>
              <w:rPr>
                <w:rFonts w:hint="eastAsia" w:ascii="宋体" w:hAnsi="宋体" w:cs="宋体"/>
                <w:bCs/>
                <w:szCs w:val="21"/>
              </w:rPr>
            </w:pPr>
          </w:p>
        </w:tc>
        <w:tc>
          <w:tcPr>
            <w:tcW w:w="1067" w:type="dxa"/>
            <w:vMerge w:val="continue"/>
            <w:vAlign w:val="center"/>
          </w:tcPr>
          <w:p w14:paraId="4C31E422">
            <w:pPr>
              <w:snapToGrid w:val="0"/>
              <w:spacing w:line="360" w:lineRule="auto"/>
              <w:jc w:val="center"/>
              <w:rPr>
                <w:rFonts w:hint="eastAsia" w:ascii="宋体" w:hAnsi="宋体" w:cs="宋体"/>
                <w:bCs/>
                <w:szCs w:val="21"/>
              </w:rPr>
            </w:pPr>
          </w:p>
        </w:tc>
        <w:tc>
          <w:tcPr>
            <w:tcW w:w="6210" w:type="dxa"/>
            <w:vAlign w:val="center"/>
          </w:tcPr>
          <w:p w14:paraId="7B7C4730">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1.服务承诺的及时性（满分3分）</w:t>
            </w:r>
          </w:p>
          <w:p w14:paraId="374A6C7F">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投标人承诺在服务周期内，项目人员能及时响应采购人服务通知的得满3分；其他不得分。</w:t>
            </w:r>
          </w:p>
          <w:p w14:paraId="06275C7B">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2.服务承诺的完整性（满分3分）</w:t>
            </w:r>
          </w:p>
          <w:p w14:paraId="0C0E1C00">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投标人的服务承诺根据招标文件的要求，内容详细、完整的得3分；内容简略的得1分；其他不得分。</w:t>
            </w:r>
          </w:p>
          <w:p w14:paraId="4F533B45">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3.服务承诺的保障措施（满分4分）</w:t>
            </w:r>
          </w:p>
          <w:p w14:paraId="2AD390B3">
            <w:pPr>
              <w:pStyle w:val="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投标人对项目的服务承诺中有保障措施，保障措施完整全面、切实可行，服务响应程度好得4分；保障措施完整、措施可行的得2分；保障措施简略、措施不可行的得1分；其他不得分。</w:t>
            </w:r>
          </w:p>
        </w:tc>
        <w:tc>
          <w:tcPr>
            <w:tcW w:w="721" w:type="dxa"/>
            <w:vAlign w:val="center"/>
          </w:tcPr>
          <w:p w14:paraId="52A6D377">
            <w:pPr>
              <w:snapToGrid w:val="0"/>
              <w:spacing w:line="360" w:lineRule="auto"/>
              <w:jc w:val="center"/>
              <w:rPr>
                <w:rFonts w:ascii="宋体" w:hAnsi="宋体" w:cs="宋体"/>
                <w:bCs/>
                <w:szCs w:val="21"/>
              </w:rPr>
            </w:pPr>
            <w:r>
              <w:rPr>
                <w:rFonts w:hint="eastAsia" w:ascii="宋体" w:hAnsi="宋体" w:cs="宋体"/>
                <w:bCs/>
                <w:szCs w:val="21"/>
              </w:rPr>
              <w:t>10</w:t>
            </w:r>
          </w:p>
        </w:tc>
      </w:tr>
      <w:tr w14:paraId="5A2D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14:paraId="75CA4B77">
            <w:pPr>
              <w:snapToGrid w:val="0"/>
              <w:spacing w:line="360" w:lineRule="auto"/>
              <w:jc w:val="center"/>
              <w:rPr>
                <w:rFonts w:hint="eastAsia" w:ascii="宋体" w:hAnsi="宋体" w:cs="宋体"/>
                <w:bCs/>
                <w:szCs w:val="21"/>
              </w:rPr>
            </w:pPr>
            <w:r>
              <w:rPr>
                <w:rFonts w:hint="eastAsia" w:ascii="宋体" w:hAnsi="宋体" w:cs="宋体"/>
                <w:bCs/>
                <w:szCs w:val="21"/>
              </w:rPr>
              <w:t>4</w:t>
            </w:r>
          </w:p>
        </w:tc>
        <w:tc>
          <w:tcPr>
            <w:tcW w:w="1067" w:type="dxa"/>
            <w:vAlign w:val="center"/>
          </w:tcPr>
          <w:p w14:paraId="78837DBD">
            <w:pPr>
              <w:snapToGrid w:val="0"/>
              <w:spacing w:line="360" w:lineRule="auto"/>
              <w:jc w:val="center"/>
              <w:rPr>
                <w:rFonts w:hint="eastAsia" w:ascii="宋体" w:hAnsi="宋体" w:cs="宋体"/>
                <w:szCs w:val="21"/>
              </w:rPr>
            </w:pPr>
            <w:r>
              <w:rPr>
                <w:rFonts w:hint="eastAsia" w:ascii="宋体" w:hAnsi="宋体" w:cs="宋体"/>
                <w:szCs w:val="21"/>
              </w:rPr>
              <w:t>磋商陈述</w:t>
            </w:r>
          </w:p>
          <w:p w14:paraId="31E7C8FB">
            <w:pPr>
              <w:pStyle w:val="4"/>
              <w:ind w:left="0"/>
              <w:rPr>
                <w:rFonts w:hint="eastAsia" w:ascii="宋体" w:hAnsi="宋体" w:cs="宋体"/>
                <w:sz w:val="21"/>
                <w:szCs w:val="21"/>
              </w:rPr>
            </w:pPr>
            <w:r>
              <w:rPr>
                <w:rFonts w:hint="eastAsia" w:ascii="宋体" w:hAnsi="宋体" w:cs="宋体"/>
                <w:bCs/>
                <w:sz w:val="21"/>
                <w:szCs w:val="21"/>
              </w:rPr>
              <w:t>（10分）</w:t>
            </w:r>
          </w:p>
        </w:tc>
        <w:tc>
          <w:tcPr>
            <w:tcW w:w="6210" w:type="dxa"/>
            <w:vAlign w:val="center"/>
          </w:tcPr>
          <w:p w14:paraId="1BD6C83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投标人代表对审计项目理解，对评估项目重点难点、工作思路、工作进度、质量保证措施、承接本项目的优势进行现场论述：</w:t>
            </w:r>
          </w:p>
          <w:p w14:paraId="7F92A95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1.论述内容详细完整、科学可行，能完全满足采购人需求的，得 10 分；</w:t>
            </w:r>
          </w:p>
          <w:p w14:paraId="5C39312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2.论述内容完整、可行，能基本满足采购人需求的，得 6分；</w:t>
            </w:r>
          </w:p>
          <w:p w14:paraId="5AB3DD7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cs="宋体"/>
                <w:szCs w:val="21"/>
              </w:rPr>
            </w:pPr>
            <w:r>
              <w:rPr>
                <w:rFonts w:hint="eastAsia" w:ascii="宋体" w:hAnsi="宋体" w:cs="宋体"/>
                <w:szCs w:val="21"/>
              </w:rPr>
              <w:t>3.论述内容简单、基本可行，但不影响采购人需求的，得2分；</w:t>
            </w:r>
          </w:p>
          <w:p w14:paraId="2B8E6B3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论述内容不完整、有缺项的，得0分。</w:t>
            </w:r>
          </w:p>
        </w:tc>
        <w:tc>
          <w:tcPr>
            <w:tcW w:w="721" w:type="dxa"/>
            <w:vAlign w:val="center"/>
          </w:tcPr>
          <w:p w14:paraId="0F059242">
            <w:pPr>
              <w:snapToGrid w:val="0"/>
              <w:spacing w:line="360" w:lineRule="auto"/>
              <w:jc w:val="center"/>
              <w:rPr>
                <w:rFonts w:ascii="宋体" w:hAnsi="宋体" w:cs="宋体"/>
                <w:bCs/>
                <w:szCs w:val="21"/>
              </w:rPr>
            </w:pPr>
            <w:r>
              <w:rPr>
                <w:rFonts w:hint="eastAsia" w:ascii="宋体" w:hAnsi="宋体" w:cs="宋体"/>
                <w:bCs/>
                <w:szCs w:val="21"/>
              </w:rPr>
              <w:t>10</w:t>
            </w:r>
          </w:p>
        </w:tc>
      </w:tr>
    </w:tbl>
    <w:p w14:paraId="1EDFA9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604F5"/>
    <w:rsid w:val="24177852"/>
    <w:rsid w:val="39E16360"/>
    <w:rsid w:val="58AB7392"/>
    <w:rsid w:val="6AEC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ind w:firstLine="420" w:firstLineChars="100"/>
      <w:jc w:val="both"/>
    </w:pPr>
    <w:rPr>
      <w:rFonts w:ascii="宋体"/>
      <w:kern w:val="2"/>
      <w:sz w:val="28"/>
      <w:szCs w:val="20"/>
    </w:rPr>
  </w:style>
  <w:style w:type="paragraph" w:styleId="3">
    <w:name w:val="Body Text"/>
    <w:basedOn w:val="1"/>
    <w:next w:val="1"/>
    <w:qFormat/>
    <w:uiPriority w:val="0"/>
    <w:pPr>
      <w:spacing w:line="480" w:lineRule="auto"/>
    </w:pPr>
    <w:rPr>
      <w:rFonts w:ascii="Times New Roman" w:hAnsi="Times New Roman" w:eastAsia="宋体" w:cs="Times New Roman"/>
      <w:color w:val="000000"/>
      <w:sz w:val="24"/>
    </w:rPr>
  </w:style>
  <w:style w:type="paragraph" w:styleId="4">
    <w:name w:val="toc 2"/>
    <w:basedOn w:val="1"/>
    <w:next w:val="1"/>
    <w:qFormat/>
    <w:uiPriority w:val="0"/>
    <w:pPr>
      <w:ind w:left="210"/>
      <w:jc w:val="left"/>
    </w:pPr>
    <w:rPr>
      <w:rFonts w:ascii="Calibri" w:hAnsi="Calibri" w:eastAsia="宋体" w:cs="Times New Roman"/>
      <w:smallCaps/>
      <w:sz w:val="20"/>
      <w:szCs w:val="20"/>
    </w:rPr>
  </w:style>
  <w:style w:type="paragraph" w:customStyle="1" w:styleId="7">
    <w:name w:val="标题 #3"/>
    <w:basedOn w:val="1"/>
    <w:qFormat/>
    <w:uiPriority w:val="0"/>
    <w:pPr>
      <w:shd w:val="clear" w:color="auto" w:fill="FFFFFF"/>
      <w:spacing w:after="660" w:afterLines="0" w:line="0" w:lineRule="atLeast"/>
      <w:outlineLvl w:val="2"/>
    </w:pPr>
    <w:rPr>
      <w:rFonts w:ascii="MingLiU" w:hAnsi="MingLiU" w:eastAsia="MingLiU" w:cs="MingLiU"/>
      <w:spacing w:val="4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1367</Words>
  <Characters>1405</Characters>
  <Lines>0</Lines>
  <Paragraphs>0</Paragraphs>
  <TotalTime>41</TotalTime>
  <ScaleCrop>false</ScaleCrop>
  <LinksUpToDate>false</LinksUpToDate>
  <CharactersWithSpaces>1408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huawei</dc:creator>
  <cp:lastModifiedBy>陈皎</cp:lastModifiedBy>
  <cp:lastPrinted>2024-11-01T02:35:00Z</cp:lastPrinted>
  <dcterms:modified xsi:type="dcterms:W3CDTF">2025-09-17T01:38:48Z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eyJoZGlkIjoiODU4ZWQ0NTMwNDJhZjMyNzIzMzU0MjQxMWZjNzRmNmIiLCJ1c2VySWQiOiI2NTk4OTM3NDQifQ==</vt:lpwstr>
  </property>
  <property fmtid="{D5CDD505-2E9C-101B-9397-08002B2CF9AE}" pid="4" name="ICV">
    <vt:lpwstr>33EBD88F330A49AA89B58CB1D781353B_12</vt:lpwstr>
  </property>
</Properties>
</file>