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A6460">
      <w:pPr>
        <w:jc w:val="center"/>
        <w:rPr>
          <w:rFonts w:hint="eastAsia"/>
          <w:b/>
          <w:bCs/>
          <w:sz w:val="36"/>
          <w:szCs w:val="36"/>
          <w:lang w:eastAsia="zh-CN"/>
        </w:rPr>
      </w:pPr>
      <w:r>
        <w:rPr>
          <w:rFonts w:hint="eastAsia"/>
          <w:b/>
          <w:bCs/>
          <w:sz w:val="36"/>
          <w:szCs w:val="36"/>
          <w:lang w:eastAsia="zh-CN"/>
        </w:rPr>
        <w:t>输液瓶回收项目招标参数</w:t>
      </w:r>
    </w:p>
    <w:p w14:paraId="65FBFB31">
      <w:pPr>
        <w:spacing w:line="520" w:lineRule="exact"/>
        <w:rPr>
          <w:rFonts w:hint="eastAsia" w:ascii="仿宋" w:hAnsi="仿宋" w:eastAsia="仿宋" w:cs="仿宋"/>
          <w:b/>
          <w:bCs/>
          <w:sz w:val="32"/>
          <w:szCs w:val="32"/>
          <w:lang w:val="zh-CN"/>
        </w:rPr>
      </w:pPr>
      <w:r>
        <w:rPr>
          <w:rFonts w:hint="eastAsia" w:ascii="仿宋" w:hAnsi="仿宋" w:eastAsia="仿宋" w:cs="仿宋"/>
          <w:b/>
          <w:bCs/>
          <w:sz w:val="32"/>
          <w:szCs w:val="32"/>
          <w:lang w:val="zh-CN"/>
        </w:rPr>
        <w:t>一、项目名称</w:t>
      </w:r>
    </w:p>
    <w:p w14:paraId="1E5E13AC">
      <w:pPr>
        <w:spacing w:line="520" w:lineRule="exact"/>
        <w:ind w:firstLine="630"/>
        <w:rPr>
          <w:rFonts w:hint="eastAsia" w:ascii="仿宋" w:hAnsi="仿宋" w:eastAsia="仿宋" w:cs="仿宋"/>
          <w:bCs/>
          <w:sz w:val="32"/>
          <w:szCs w:val="32"/>
          <w:lang w:val="en-US" w:eastAsia="zh-CN"/>
        </w:rPr>
      </w:pPr>
      <w:r>
        <w:rPr>
          <w:rFonts w:hint="eastAsia" w:ascii="仿宋" w:hAnsi="仿宋" w:eastAsia="仿宋" w:cs="仿宋"/>
          <w:bCs/>
          <w:sz w:val="32"/>
          <w:szCs w:val="32"/>
          <w:lang w:val="zh-CN"/>
        </w:rPr>
        <w:t>甘肃省中医院</w:t>
      </w:r>
      <w:r>
        <w:rPr>
          <w:rFonts w:hint="eastAsia" w:ascii="仿宋" w:hAnsi="仿宋" w:eastAsia="仿宋" w:cs="仿宋"/>
          <w:bCs/>
          <w:sz w:val="32"/>
          <w:szCs w:val="32"/>
          <w:lang w:val="en-US" w:eastAsia="zh-CN"/>
        </w:rPr>
        <w:t>输液瓶回收项目</w:t>
      </w:r>
    </w:p>
    <w:p w14:paraId="2CEAA799">
      <w:pPr>
        <w:numPr>
          <w:ilvl w:val="0"/>
          <w:numId w:val="0"/>
        </w:numPr>
        <w:spacing w:line="520" w:lineRule="exact"/>
        <w:rPr>
          <w:rFonts w:hint="eastAsia" w:ascii="仿宋" w:hAnsi="仿宋" w:eastAsia="仿宋" w:cs="仿宋"/>
          <w:b/>
          <w:bCs/>
          <w:sz w:val="32"/>
          <w:szCs w:val="32"/>
          <w:lang w:val="zh-CN" w:eastAsia="zh-CN"/>
        </w:rPr>
      </w:pPr>
      <w:r>
        <w:rPr>
          <w:rFonts w:hint="eastAsia" w:ascii="仿宋" w:hAnsi="仿宋" w:eastAsia="仿宋" w:cs="仿宋"/>
          <w:b/>
          <w:bCs/>
          <w:sz w:val="32"/>
          <w:szCs w:val="32"/>
          <w:lang w:val="en-US" w:eastAsia="zh-CN"/>
        </w:rPr>
        <w:t>二、项目介绍</w:t>
      </w:r>
    </w:p>
    <w:p w14:paraId="50099CB6">
      <w:pPr>
        <w:numPr>
          <w:ilvl w:val="0"/>
          <w:numId w:val="0"/>
        </w:numPr>
        <w:ind w:leftChars="0" w:firstLine="640" w:firstLineChars="200"/>
        <w:jc w:val="left"/>
        <w:rPr>
          <w:rFonts w:hint="default" w:ascii="仿宋" w:hAnsi="仿宋" w:eastAsia="仿宋" w:cs="仿宋"/>
          <w:i w:val="0"/>
          <w:iCs w:val="0"/>
          <w:caps w:val="0"/>
          <w:color w:val="000000"/>
          <w:spacing w:val="0"/>
          <w:sz w:val="32"/>
          <w:szCs w:val="32"/>
          <w:lang w:val="en-US" w:eastAsia="zh-CN"/>
        </w:rPr>
      </w:pPr>
      <w:bookmarkStart w:id="0" w:name="_GoBack"/>
      <w:bookmarkEnd w:id="0"/>
      <w:r>
        <w:rPr>
          <w:rFonts w:hint="eastAsia" w:ascii="仿宋" w:hAnsi="仿宋" w:eastAsia="仿宋" w:cs="仿宋"/>
          <w:i w:val="0"/>
          <w:iCs w:val="0"/>
          <w:caps w:val="0"/>
          <w:color w:val="000000"/>
          <w:spacing w:val="0"/>
          <w:sz w:val="32"/>
          <w:szCs w:val="32"/>
          <w:lang w:val="en-US" w:eastAsia="zh-CN"/>
        </w:rPr>
        <w:t>全院</w:t>
      </w:r>
      <w:r>
        <w:rPr>
          <w:rFonts w:hint="eastAsia" w:ascii="仿宋" w:hAnsi="仿宋" w:eastAsia="仿宋" w:cs="仿宋"/>
          <w:i w:val="0"/>
          <w:iCs w:val="0"/>
          <w:caps w:val="0"/>
          <w:color w:val="000000"/>
          <w:spacing w:val="0"/>
          <w:sz w:val="32"/>
          <w:szCs w:val="32"/>
          <w:lang w:eastAsia="zh-CN"/>
        </w:rPr>
        <w:t>塑料输液瓶</w:t>
      </w:r>
      <w:r>
        <w:rPr>
          <w:rFonts w:hint="eastAsia" w:ascii="仿宋" w:hAnsi="仿宋" w:eastAsia="仿宋" w:cs="仿宋"/>
          <w:i w:val="0"/>
          <w:iCs w:val="0"/>
          <w:caps w:val="0"/>
          <w:color w:val="000000"/>
          <w:spacing w:val="0"/>
          <w:sz w:val="32"/>
          <w:szCs w:val="32"/>
          <w:lang w:val="en-US" w:eastAsia="zh-CN"/>
        </w:rPr>
        <w:t>根据重量进行回收，</w:t>
      </w:r>
      <w:r>
        <w:rPr>
          <w:rFonts w:hint="eastAsia" w:ascii="仿宋" w:hAnsi="仿宋" w:eastAsia="仿宋" w:cs="仿宋"/>
          <w:i w:val="0"/>
          <w:iCs w:val="0"/>
          <w:caps w:val="0"/>
          <w:color w:val="000000"/>
          <w:spacing w:val="0"/>
          <w:sz w:val="32"/>
          <w:szCs w:val="32"/>
          <w:lang w:eastAsia="zh-CN"/>
        </w:rPr>
        <w:t>玻璃输液瓶</w:t>
      </w:r>
      <w:r>
        <w:rPr>
          <w:rFonts w:hint="eastAsia" w:ascii="仿宋" w:hAnsi="仿宋" w:eastAsia="仿宋" w:cs="仿宋"/>
          <w:i w:val="0"/>
          <w:iCs w:val="0"/>
          <w:caps w:val="0"/>
          <w:color w:val="000000"/>
          <w:spacing w:val="0"/>
          <w:sz w:val="32"/>
          <w:szCs w:val="32"/>
          <w:lang w:val="en-US" w:eastAsia="zh-CN"/>
        </w:rPr>
        <w:t xml:space="preserve">免费清运。每次清运时按招标方通知时间为准。                                                                                                                                                                                                                                                                                                                                                                                                                                                                                                                                                                                                                                                                                                                                                                                                                                                                                                                                                                                                                                                                                                                                                                                                                                                                                                                                                                                                                                </w:t>
      </w:r>
    </w:p>
    <w:p w14:paraId="1930E450">
      <w:pPr>
        <w:numPr>
          <w:ilvl w:val="0"/>
          <w:numId w:val="0"/>
        </w:numPr>
        <w:jc w:val="left"/>
        <w:rPr>
          <w:rFonts w:hint="default" w:ascii="仿宋" w:hAnsi="仿宋" w:eastAsia="仿宋" w:cs="仿宋"/>
          <w:b/>
          <w:bCs/>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三、投标报价</w:t>
      </w:r>
    </w:p>
    <w:p w14:paraId="64C6D0E0">
      <w:pPr>
        <w:numPr>
          <w:ilvl w:val="0"/>
          <w:numId w:val="0"/>
        </w:numPr>
        <w:ind w:leftChars="0" w:firstLine="640" w:firstLineChars="200"/>
        <w:jc w:val="left"/>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lang w:eastAsia="zh-CN"/>
        </w:rPr>
        <w:t>投标报价按照塑料输液瓶称重公斤单价计价。玻璃瓶免费清运，包括但不限于运输、搬运、装卸、税金及政策性文件规定的各项应有的费用。</w:t>
      </w:r>
    </w:p>
    <w:p w14:paraId="0BA75132">
      <w:pPr>
        <w:pStyle w:val="2"/>
        <w:numPr>
          <w:ilvl w:val="0"/>
          <w:numId w:val="0"/>
        </w:numPr>
        <w:ind w:leftChars="0"/>
        <w:rPr>
          <w:rFonts w:hint="eastAsia" w:ascii="仿宋" w:hAnsi="仿宋" w:eastAsia="仿宋" w:cs="仿宋"/>
          <w:b/>
          <w:bCs/>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四、合同期限及结算方式</w:t>
      </w:r>
    </w:p>
    <w:p w14:paraId="3D8DAE6D">
      <w:pPr>
        <w:pStyle w:val="2"/>
        <w:numPr>
          <w:ilvl w:val="0"/>
          <w:numId w:val="0"/>
        </w:numPr>
        <w:ind w:leftChars="0"/>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 xml:space="preserve">    合同有效期一年，每月按实际发生量进行结算。</w:t>
      </w:r>
    </w:p>
    <w:p w14:paraId="759B76FB">
      <w:pPr>
        <w:numPr>
          <w:ilvl w:val="0"/>
          <w:numId w:val="0"/>
        </w:num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五、投标资质</w:t>
      </w:r>
    </w:p>
    <w:p w14:paraId="1ABCB2BF">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2" w:lineRule="atLeast"/>
        <w:ind w:right="0" w:firstLine="560" w:firstLineChars="200"/>
        <w:jc w:val="both"/>
        <w:rPr>
          <w:rFonts w:ascii="仿宋" w:hAnsi="仿宋" w:eastAsia="仿宋" w:cs="仿宋"/>
          <w:i w:val="0"/>
          <w:iCs w:val="0"/>
          <w:caps w:val="0"/>
          <w:color w:val="000000"/>
          <w:spacing w:val="0"/>
          <w:sz w:val="32"/>
          <w:szCs w:val="32"/>
        </w:rPr>
      </w:pPr>
      <w:r>
        <w:rPr>
          <w:rFonts w:hint="eastAsia" w:ascii="仿宋" w:hAnsi="仿宋" w:eastAsia="仿宋" w:cs="仿宋"/>
          <w:b w:val="0"/>
          <w:bCs w:val="0"/>
          <w:i w:val="0"/>
          <w:iCs w:val="0"/>
          <w:caps w:val="0"/>
          <w:color w:val="000000"/>
          <w:spacing w:val="0"/>
          <w:sz w:val="28"/>
          <w:szCs w:val="28"/>
          <w:lang w:eastAsia="zh-CN"/>
        </w:rPr>
        <w:t>（</w:t>
      </w:r>
      <w:r>
        <w:rPr>
          <w:rFonts w:hint="eastAsia" w:ascii="仿宋" w:hAnsi="仿宋" w:eastAsia="仿宋" w:cs="仿宋"/>
          <w:b w:val="0"/>
          <w:bCs w:val="0"/>
          <w:i w:val="0"/>
          <w:iCs w:val="0"/>
          <w:caps w:val="0"/>
          <w:color w:val="000000"/>
          <w:spacing w:val="0"/>
          <w:sz w:val="32"/>
          <w:szCs w:val="32"/>
          <w:lang w:eastAsia="zh-CN"/>
        </w:rPr>
        <w:t>1）投标人须是在中华人民共和国境内注册的独立法人，具有相应产品的回收相关资质；</w:t>
      </w:r>
    </w:p>
    <w:p w14:paraId="44FED08B">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2" w:lineRule="atLeast"/>
        <w:ind w:left="0" w:right="0" w:firstLine="562"/>
        <w:jc w:val="both"/>
        <w:rPr>
          <w:rFonts w:hint="eastAsia" w:ascii="仿宋" w:hAnsi="仿宋" w:eastAsia="仿宋" w:cs="仿宋"/>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i w:val="0"/>
          <w:iCs w:val="0"/>
          <w:caps w:val="0"/>
          <w:color w:val="000000"/>
          <w:spacing w:val="0"/>
          <w:sz w:val="32"/>
          <w:szCs w:val="32"/>
        </w:rPr>
        <w:t>2</w:t>
      </w:r>
      <w:r>
        <w:rPr>
          <w:rFonts w:hint="eastAsia" w:ascii="仿宋" w:hAnsi="仿宋" w:eastAsia="仿宋" w:cs="仿宋"/>
          <w:b w:val="0"/>
          <w:bCs w:val="0"/>
          <w:i w:val="0"/>
          <w:iCs w:val="0"/>
          <w:caps w:val="0"/>
          <w:color w:val="000000"/>
          <w:spacing w:val="0"/>
          <w:sz w:val="32"/>
          <w:szCs w:val="32"/>
          <w:lang w:eastAsia="zh-CN"/>
        </w:rPr>
        <w:t>）投标人必须提供有效的营业执照、税务登记证、组织机构代码证或者“三证合一”的营业执照；</w:t>
      </w:r>
    </w:p>
    <w:p w14:paraId="64C588FD">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2" w:lineRule="atLeast"/>
        <w:ind w:left="0" w:right="0" w:firstLine="562"/>
        <w:jc w:val="both"/>
        <w:rPr>
          <w:rFonts w:hint="eastAsia" w:ascii="仿宋" w:hAnsi="仿宋" w:eastAsia="仿宋" w:cs="仿宋"/>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i w:val="0"/>
          <w:iCs w:val="0"/>
          <w:caps w:val="0"/>
          <w:color w:val="000000"/>
          <w:spacing w:val="0"/>
          <w:sz w:val="32"/>
          <w:szCs w:val="32"/>
        </w:rPr>
        <w:t>3</w:t>
      </w:r>
      <w:r>
        <w:rPr>
          <w:rFonts w:hint="eastAsia" w:ascii="仿宋" w:hAnsi="仿宋" w:eastAsia="仿宋" w:cs="仿宋"/>
          <w:b w:val="0"/>
          <w:bCs w:val="0"/>
          <w:i w:val="0"/>
          <w:iCs w:val="0"/>
          <w:caps w:val="0"/>
          <w:color w:val="000000"/>
          <w:spacing w:val="0"/>
          <w:sz w:val="32"/>
          <w:szCs w:val="32"/>
          <w:lang w:eastAsia="zh-CN"/>
        </w:rPr>
        <w:t>）投标人提供投标截止日前18个月内经第三方审计的财务报告复印件，或财政部门认可的政府采购专业担保机构出具的投标担保函原件，或银行出具的资信证明原件。（以出报告日期为准）</w:t>
      </w:r>
    </w:p>
    <w:p w14:paraId="18255D31">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2" w:lineRule="atLeast"/>
        <w:ind w:left="0" w:right="0" w:firstLine="562"/>
        <w:jc w:val="both"/>
        <w:rPr>
          <w:rFonts w:hint="eastAsia" w:ascii="仿宋" w:hAnsi="仿宋" w:eastAsia="仿宋" w:cs="仿宋"/>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i w:val="0"/>
          <w:iCs w:val="0"/>
          <w:caps w:val="0"/>
          <w:color w:val="000000"/>
          <w:spacing w:val="0"/>
          <w:sz w:val="32"/>
          <w:szCs w:val="32"/>
        </w:rPr>
        <w:t>4</w:t>
      </w:r>
      <w:r>
        <w:rPr>
          <w:rFonts w:hint="eastAsia" w:ascii="仿宋" w:hAnsi="仿宋" w:eastAsia="仿宋" w:cs="仿宋"/>
          <w:b w:val="0"/>
          <w:bCs w:val="0"/>
          <w:i w:val="0"/>
          <w:iCs w:val="0"/>
          <w:caps w:val="0"/>
          <w:color w:val="000000"/>
          <w:spacing w:val="0"/>
          <w:sz w:val="32"/>
          <w:szCs w:val="32"/>
          <w:lang w:eastAsia="zh-CN"/>
        </w:rPr>
        <w:t>）投标人需提供投标截止日前近半年内缴纳的任意一个月的任意一项税种（增值税、企业所得税等）的凭据，依法免税的投标人，应提供相应的证明文件。（复印件）</w:t>
      </w:r>
    </w:p>
    <w:p w14:paraId="1BE301B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2" w:lineRule="atLeast"/>
        <w:ind w:left="0" w:right="0" w:firstLine="562"/>
        <w:jc w:val="both"/>
        <w:rPr>
          <w:rFonts w:hint="eastAsia" w:ascii="仿宋" w:hAnsi="仿宋" w:eastAsia="仿宋" w:cs="仿宋"/>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i w:val="0"/>
          <w:iCs w:val="0"/>
          <w:caps w:val="0"/>
          <w:color w:val="000000"/>
          <w:spacing w:val="0"/>
          <w:sz w:val="32"/>
          <w:szCs w:val="32"/>
        </w:rPr>
        <w:t>5</w:t>
      </w:r>
      <w:r>
        <w:rPr>
          <w:rFonts w:hint="eastAsia" w:ascii="仿宋" w:hAnsi="仿宋" w:eastAsia="仿宋" w:cs="仿宋"/>
          <w:b w:val="0"/>
          <w:bCs w:val="0"/>
          <w:i w:val="0"/>
          <w:iCs w:val="0"/>
          <w:caps w:val="0"/>
          <w:color w:val="000000"/>
          <w:spacing w:val="0"/>
          <w:sz w:val="32"/>
          <w:szCs w:val="32"/>
          <w:lang w:eastAsia="zh-CN"/>
        </w:rPr>
        <w:t>）社会保障资金缴纳记录（投标人逐月缴纳社会保障资金的，须提供投标截止日前至少一个月的缴纳社会保障资金的入账票据凭证复印件，投标人逐年缴纳社会保障资金的，须提供投标截止日前上年度缴纳社会保障资金的入账票据凭证复印件，缴纳社会保障资金的入账票据凭证复印件须加盖本单位公章）。</w:t>
      </w:r>
    </w:p>
    <w:p w14:paraId="1DF0ADE7">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2" w:lineRule="atLeast"/>
        <w:ind w:left="0" w:right="0" w:firstLine="562"/>
        <w:jc w:val="both"/>
        <w:rPr>
          <w:rFonts w:hint="eastAsia" w:ascii="仿宋" w:hAnsi="仿宋" w:eastAsia="仿宋" w:cs="仿宋"/>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lang w:eastAsia="zh-CN"/>
        </w:rPr>
        <w:t>（6）参加政府采购活动前3年内在经营活动中没有重大违法记录的书面声明（原件）。（截至开标日成立不足3年的供应商可提供自成立以来无重大违法记录的书面声明）。</w:t>
      </w:r>
    </w:p>
    <w:p w14:paraId="3924B044">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2" w:lineRule="atLeast"/>
        <w:ind w:left="0" w:right="0" w:firstLine="562"/>
        <w:jc w:val="both"/>
        <w:rPr>
          <w:rFonts w:hint="eastAsia" w:ascii="仿宋" w:hAnsi="仿宋" w:eastAsia="仿宋" w:cs="仿宋"/>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lang w:eastAsia="zh-CN"/>
        </w:rPr>
        <w:t>（7）信用记录：供应商未被列入“信用中国”网站(www.creditchina.gov.cn)记录“失信被执行人或重大税收违法案件当事人名单或政府采购严重违法失信行为”记录名单；不处于中国政府采购网(www.ccgp.gov.cn) “政府采购严重违法失信行为信息记录”中的禁止参加政府采购活动期间的方可参加本项目的投标。投标截止日当天，由资格审查小组根据以上要求对各供应商信用记录进行查询，有以上行为的视为无效投标。</w:t>
      </w:r>
    </w:p>
    <w:p w14:paraId="6E5285C9">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2" w:lineRule="atLeast"/>
        <w:ind w:left="0" w:right="0" w:firstLine="562"/>
        <w:jc w:val="both"/>
        <w:rPr>
          <w:rFonts w:hint="eastAsia" w:ascii="仿宋" w:hAnsi="仿宋" w:eastAsia="仿宋" w:cs="仿宋"/>
          <w:b w:val="0"/>
          <w:bCs w:val="0"/>
          <w:i w:val="0"/>
          <w:iCs w:val="0"/>
          <w:caps w:val="0"/>
          <w:color w:val="000000"/>
          <w:spacing w:val="0"/>
          <w:sz w:val="32"/>
          <w:szCs w:val="32"/>
          <w:lang w:eastAsia="zh-CN"/>
        </w:rPr>
      </w:pP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i w:val="0"/>
          <w:iCs w:val="0"/>
          <w:caps w:val="0"/>
          <w:color w:val="000000"/>
          <w:spacing w:val="0"/>
          <w:sz w:val="32"/>
          <w:szCs w:val="32"/>
        </w:rPr>
        <w:t>8</w:t>
      </w:r>
      <w:r>
        <w:rPr>
          <w:rFonts w:hint="eastAsia" w:ascii="仿宋" w:hAnsi="仿宋" w:eastAsia="仿宋" w:cs="仿宋"/>
          <w:b w:val="0"/>
          <w:bCs w:val="0"/>
          <w:i w:val="0"/>
          <w:iCs w:val="0"/>
          <w:caps w:val="0"/>
          <w:color w:val="000000"/>
          <w:spacing w:val="0"/>
          <w:sz w:val="32"/>
          <w:szCs w:val="32"/>
          <w:lang w:eastAsia="zh-CN"/>
        </w:rPr>
        <w:t>）本项目不接受联合体投标。</w:t>
      </w:r>
    </w:p>
    <w:p w14:paraId="25ABBEE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2" w:lineRule="atLeast"/>
        <w:ind w:right="0"/>
        <w:jc w:val="both"/>
        <w:rPr>
          <w:rFonts w:hint="eastAsia" w:ascii="仿宋" w:hAnsi="仿宋" w:eastAsia="仿宋" w:cs="仿宋"/>
          <w:b w:val="0"/>
          <w:bCs w:val="0"/>
          <w:i w:val="0"/>
          <w:iCs w:val="0"/>
          <w:caps w:val="0"/>
          <w:color w:val="000000"/>
          <w:spacing w:val="0"/>
          <w:sz w:val="32"/>
          <w:szCs w:val="32"/>
          <w:lang w:val="en-US" w:eastAsia="zh-CN"/>
        </w:rPr>
      </w:pPr>
      <w:r>
        <w:rPr>
          <w:rFonts w:hint="eastAsia" w:ascii="仿宋" w:hAnsi="仿宋" w:eastAsia="仿宋" w:cs="仿宋"/>
          <w:b w:val="0"/>
          <w:bCs w:val="0"/>
          <w:i w:val="0"/>
          <w:iCs w:val="0"/>
          <w:caps w:val="0"/>
          <w:color w:val="000000"/>
          <w:spacing w:val="0"/>
          <w:sz w:val="32"/>
          <w:szCs w:val="32"/>
          <w:lang w:val="en-US" w:eastAsia="zh-CN"/>
        </w:rPr>
        <w:t>六、保证金</w:t>
      </w:r>
    </w:p>
    <w:p w14:paraId="27D759E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2" w:lineRule="atLeast"/>
        <w:ind w:right="0" w:firstLine="640" w:firstLineChars="200"/>
        <w:jc w:val="both"/>
        <w:rPr>
          <w:rFonts w:hint="default" w:ascii="仿宋" w:hAnsi="仿宋" w:eastAsia="仿宋" w:cs="仿宋"/>
          <w:b w:val="0"/>
          <w:bCs w:val="0"/>
          <w:i w:val="0"/>
          <w:iCs w:val="0"/>
          <w:caps w:val="0"/>
          <w:color w:val="000000"/>
          <w:spacing w:val="0"/>
          <w:sz w:val="32"/>
          <w:szCs w:val="32"/>
          <w:lang w:val="en-US" w:eastAsia="zh-CN"/>
        </w:rPr>
      </w:pPr>
      <w:r>
        <w:rPr>
          <w:rFonts w:hint="eastAsia" w:ascii="仿宋" w:hAnsi="仿宋" w:eastAsia="仿宋" w:cs="仿宋"/>
          <w:b w:val="0"/>
          <w:bCs w:val="0"/>
          <w:i w:val="0"/>
          <w:iCs w:val="0"/>
          <w:caps w:val="0"/>
          <w:color w:val="000000"/>
          <w:spacing w:val="0"/>
          <w:sz w:val="32"/>
          <w:szCs w:val="32"/>
          <w:lang w:val="en-US" w:eastAsia="zh-CN"/>
        </w:rPr>
        <w:t>合同签订后中标方需向院方支付20000元履约保证金，一年合同期满后，根据考核结果结算退还。</w:t>
      </w:r>
    </w:p>
    <w:p w14:paraId="318A0FD6">
      <w:pPr>
        <w:numPr>
          <w:ilvl w:val="0"/>
          <w:numId w:val="0"/>
        </w:num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六、综合评分表</w:t>
      </w:r>
    </w:p>
    <w:tbl>
      <w:tblPr>
        <w:tblStyle w:val="4"/>
        <w:tblpPr w:leftFromText="180" w:rightFromText="180" w:vertAnchor="text" w:horzAnchor="page" w:tblpX="1800" w:tblpY="233"/>
        <w:tblOverlap w:val="never"/>
        <w:tblW w:w="8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72"/>
        <w:gridCol w:w="1163"/>
        <w:gridCol w:w="5247"/>
      </w:tblGrid>
      <w:tr w14:paraId="55CB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05" w:type="dxa"/>
            <w:vAlign w:val="center"/>
          </w:tcPr>
          <w:p w14:paraId="2364B8F0">
            <w:pPr>
              <w:widowControl w:val="0"/>
              <w:spacing w:line="384" w:lineRule="auto"/>
              <w:jc w:val="center"/>
              <w:rPr>
                <w:rFonts w:hint="eastAsia" w:ascii="仿宋" w:hAnsi="仿宋" w:eastAsia="仿宋" w:cs="仿宋"/>
              </w:rPr>
            </w:pPr>
            <w:r>
              <w:rPr>
                <w:rFonts w:hint="eastAsia" w:ascii="仿宋" w:hAnsi="仿宋" w:eastAsia="仿宋" w:cs="仿宋"/>
              </w:rPr>
              <w:t>序号</w:t>
            </w:r>
          </w:p>
        </w:tc>
        <w:tc>
          <w:tcPr>
            <w:tcW w:w="1072" w:type="dxa"/>
            <w:vAlign w:val="center"/>
          </w:tcPr>
          <w:p w14:paraId="5778F2C4">
            <w:pPr>
              <w:widowControl w:val="0"/>
              <w:spacing w:line="384" w:lineRule="auto"/>
              <w:jc w:val="center"/>
              <w:rPr>
                <w:rFonts w:hint="eastAsia" w:ascii="仿宋" w:hAnsi="仿宋" w:eastAsia="仿宋" w:cs="仿宋"/>
              </w:rPr>
            </w:pPr>
            <w:r>
              <w:rPr>
                <w:rFonts w:hint="eastAsia" w:ascii="仿宋" w:hAnsi="仿宋" w:eastAsia="仿宋" w:cs="仿宋"/>
              </w:rPr>
              <w:t>评分项目</w:t>
            </w:r>
          </w:p>
        </w:tc>
        <w:tc>
          <w:tcPr>
            <w:tcW w:w="1163" w:type="dxa"/>
            <w:vAlign w:val="center"/>
          </w:tcPr>
          <w:p w14:paraId="358DD26C">
            <w:pPr>
              <w:widowControl w:val="0"/>
              <w:spacing w:line="384" w:lineRule="auto"/>
              <w:jc w:val="center"/>
              <w:rPr>
                <w:rFonts w:hint="eastAsia" w:ascii="仿宋" w:hAnsi="仿宋" w:eastAsia="仿宋" w:cs="仿宋"/>
              </w:rPr>
            </w:pPr>
            <w:r>
              <w:rPr>
                <w:rFonts w:hint="eastAsia" w:ascii="仿宋" w:hAnsi="仿宋" w:eastAsia="仿宋" w:cs="仿宋"/>
              </w:rPr>
              <w:t>基础分值</w:t>
            </w:r>
          </w:p>
        </w:tc>
        <w:tc>
          <w:tcPr>
            <w:tcW w:w="5247" w:type="dxa"/>
            <w:vAlign w:val="center"/>
          </w:tcPr>
          <w:p w14:paraId="6BDC0C8F">
            <w:pPr>
              <w:widowControl w:val="0"/>
              <w:spacing w:line="384" w:lineRule="auto"/>
              <w:jc w:val="center"/>
              <w:rPr>
                <w:rFonts w:hint="eastAsia" w:ascii="仿宋" w:hAnsi="仿宋" w:eastAsia="仿宋" w:cs="仿宋"/>
              </w:rPr>
            </w:pPr>
            <w:r>
              <w:rPr>
                <w:rFonts w:hint="eastAsia" w:ascii="仿宋" w:hAnsi="仿宋" w:eastAsia="仿宋" w:cs="仿宋"/>
              </w:rPr>
              <w:t>评分标准</w:t>
            </w:r>
          </w:p>
        </w:tc>
      </w:tr>
      <w:tr w14:paraId="1167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05" w:type="dxa"/>
            <w:vAlign w:val="center"/>
          </w:tcPr>
          <w:p w14:paraId="4A20B091">
            <w:pPr>
              <w:widowControl w:val="0"/>
              <w:spacing w:line="384" w:lineRule="auto"/>
              <w:jc w:val="center"/>
              <w:rPr>
                <w:rFonts w:hint="eastAsia" w:ascii="仿宋" w:hAnsi="仿宋" w:eastAsia="仿宋" w:cs="仿宋"/>
              </w:rPr>
            </w:pPr>
            <w:r>
              <w:rPr>
                <w:rFonts w:hint="eastAsia" w:ascii="仿宋" w:hAnsi="仿宋" w:eastAsia="仿宋" w:cs="仿宋"/>
              </w:rPr>
              <w:t>1</w:t>
            </w:r>
          </w:p>
        </w:tc>
        <w:tc>
          <w:tcPr>
            <w:tcW w:w="1072" w:type="dxa"/>
            <w:vAlign w:val="center"/>
          </w:tcPr>
          <w:p w14:paraId="44DB722F">
            <w:pPr>
              <w:widowControl w:val="0"/>
              <w:spacing w:line="384" w:lineRule="auto"/>
              <w:jc w:val="center"/>
              <w:rPr>
                <w:rFonts w:hint="eastAsia" w:ascii="仿宋" w:hAnsi="仿宋" w:eastAsia="仿宋" w:cs="仿宋"/>
              </w:rPr>
            </w:pPr>
            <w:r>
              <w:rPr>
                <w:rFonts w:hint="eastAsia" w:ascii="仿宋" w:hAnsi="仿宋" w:eastAsia="仿宋" w:cs="仿宋"/>
              </w:rPr>
              <w:t>价格部分</w:t>
            </w:r>
          </w:p>
          <w:p w14:paraId="1984A93E">
            <w:pPr>
              <w:widowControl w:val="0"/>
              <w:spacing w:line="384" w:lineRule="auto"/>
              <w:jc w:val="center"/>
              <w:rPr>
                <w:rFonts w:hint="eastAsia" w:ascii="仿宋" w:hAnsi="仿宋" w:eastAsia="仿宋" w:cs="仿宋"/>
              </w:rPr>
            </w:pPr>
            <w:r>
              <w:rPr>
                <w:rFonts w:hint="eastAsia" w:ascii="仿宋" w:hAnsi="仿宋" w:eastAsia="仿宋" w:cs="仿宋"/>
              </w:rPr>
              <w:t>（30分）</w:t>
            </w:r>
          </w:p>
        </w:tc>
        <w:tc>
          <w:tcPr>
            <w:tcW w:w="1163" w:type="dxa"/>
            <w:vAlign w:val="center"/>
          </w:tcPr>
          <w:p w14:paraId="445D1403">
            <w:pPr>
              <w:widowControl w:val="0"/>
              <w:spacing w:line="384" w:lineRule="auto"/>
              <w:jc w:val="center"/>
              <w:rPr>
                <w:rFonts w:hint="eastAsia" w:ascii="仿宋" w:hAnsi="仿宋" w:eastAsia="仿宋" w:cs="仿宋"/>
              </w:rPr>
            </w:pPr>
            <w:r>
              <w:rPr>
                <w:rFonts w:hint="eastAsia" w:ascii="仿宋" w:hAnsi="仿宋" w:eastAsia="仿宋" w:cs="仿宋"/>
              </w:rPr>
              <w:t>30分</w:t>
            </w:r>
          </w:p>
        </w:tc>
        <w:tc>
          <w:tcPr>
            <w:tcW w:w="5247" w:type="dxa"/>
            <w:vAlign w:val="center"/>
          </w:tcPr>
          <w:p w14:paraId="4231243D">
            <w:pPr>
              <w:widowControl w:val="0"/>
              <w:spacing w:line="384" w:lineRule="auto"/>
              <w:ind w:firstLine="420" w:firstLineChars="200"/>
              <w:rPr>
                <w:rFonts w:hint="eastAsia" w:ascii="仿宋" w:hAnsi="仿宋" w:eastAsia="仿宋" w:cs="仿宋"/>
              </w:rPr>
            </w:pPr>
            <w:r>
              <w:rPr>
                <w:rFonts w:hint="eastAsia" w:ascii="仿宋" w:hAnsi="仿宋" w:eastAsia="仿宋" w:cs="仿宋"/>
                <w:lang w:val="zh-CN" w:eastAsia="zh-CN"/>
              </w:rPr>
              <w:t>满足磋商文件要求且响应价格最</w:t>
            </w:r>
            <w:r>
              <w:rPr>
                <w:rFonts w:hint="eastAsia" w:ascii="仿宋" w:hAnsi="仿宋" w:eastAsia="仿宋" w:cs="仿宋"/>
                <w:lang w:val="en-US" w:eastAsia="zh-CN"/>
              </w:rPr>
              <w:t>高</w:t>
            </w:r>
            <w:r>
              <w:rPr>
                <w:rFonts w:hint="eastAsia" w:ascii="仿宋" w:hAnsi="仿宋" w:eastAsia="仿宋" w:cs="仿宋"/>
                <w:lang w:val="zh-CN" w:eastAsia="zh-CN"/>
              </w:rPr>
              <w:t>的响应报价为磋商基准价，其价格分为满分。其他供应商的价格分统一按照下列公式计算：磋商报价得分=(最后有效磋商报价／磋商基准价)*</w:t>
            </w:r>
            <w:r>
              <w:rPr>
                <w:rFonts w:hint="eastAsia" w:ascii="仿宋" w:hAnsi="仿宋" w:eastAsia="仿宋" w:cs="仿宋"/>
                <w:lang w:val="en-US" w:eastAsia="zh-CN"/>
              </w:rPr>
              <w:t>30</w:t>
            </w:r>
            <w:r>
              <w:rPr>
                <w:rFonts w:hint="eastAsia" w:ascii="仿宋" w:hAnsi="仿宋" w:eastAsia="仿宋" w:cs="仿宋"/>
                <w:lang w:val="zh-CN" w:eastAsia="zh-CN"/>
              </w:rPr>
              <w:t>%*100（四舍五入法结果保留小数点后两位，小数点后第三位四舍五入）</w:t>
            </w:r>
          </w:p>
        </w:tc>
      </w:tr>
      <w:tr w14:paraId="0B96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05" w:type="dxa"/>
            <w:vMerge w:val="restart"/>
            <w:vAlign w:val="center"/>
          </w:tcPr>
          <w:p w14:paraId="6F2898BB">
            <w:pPr>
              <w:widowControl w:val="0"/>
              <w:spacing w:line="384" w:lineRule="auto"/>
              <w:jc w:val="center"/>
              <w:rPr>
                <w:rFonts w:hint="eastAsia" w:ascii="仿宋" w:hAnsi="仿宋" w:eastAsia="仿宋" w:cs="仿宋"/>
              </w:rPr>
            </w:pPr>
            <w:r>
              <w:rPr>
                <w:rFonts w:hint="eastAsia" w:ascii="仿宋" w:hAnsi="仿宋" w:eastAsia="仿宋" w:cs="仿宋"/>
              </w:rPr>
              <w:t>2</w:t>
            </w:r>
          </w:p>
        </w:tc>
        <w:tc>
          <w:tcPr>
            <w:tcW w:w="1072" w:type="dxa"/>
            <w:vMerge w:val="restart"/>
            <w:vAlign w:val="center"/>
          </w:tcPr>
          <w:p w14:paraId="222A774F">
            <w:pPr>
              <w:widowControl w:val="0"/>
              <w:spacing w:line="384" w:lineRule="auto"/>
              <w:jc w:val="center"/>
              <w:rPr>
                <w:rFonts w:hint="eastAsia" w:ascii="仿宋" w:hAnsi="仿宋" w:eastAsia="仿宋" w:cs="仿宋"/>
              </w:rPr>
            </w:pPr>
            <w:r>
              <w:rPr>
                <w:rFonts w:hint="eastAsia" w:ascii="仿宋" w:hAnsi="仿宋" w:eastAsia="仿宋" w:cs="仿宋"/>
              </w:rPr>
              <w:t>商务部分（15分）</w:t>
            </w:r>
          </w:p>
        </w:tc>
        <w:tc>
          <w:tcPr>
            <w:tcW w:w="1163" w:type="dxa"/>
            <w:vAlign w:val="center"/>
          </w:tcPr>
          <w:p w14:paraId="3524FC47">
            <w:pPr>
              <w:widowControl w:val="0"/>
              <w:spacing w:line="384" w:lineRule="auto"/>
              <w:jc w:val="center"/>
              <w:rPr>
                <w:rFonts w:hint="eastAsia" w:ascii="仿宋" w:hAnsi="仿宋" w:eastAsia="仿宋" w:cs="仿宋"/>
              </w:rPr>
            </w:pPr>
            <w:r>
              <w:rPr>
                <w:rFonts w:hint="eastAsia" w:ascii="仿宋" w:hAnsi="仿宋" w:eastAsia="仿宋" w:cs="仿宋"/>
              </w:rPr>
              <w:t>5分</w:t>
            </w:r>
          </w:p>
        </w:tc>
        <w:tc>
          <w:tcPr>
            <w:tcW w:w="5247" w:type="dxa"/>
            <w:vAlign w:val="center"/>
          </w:tcPr>
          <w:p w14:paraId="7E6C2482">
            <w:pPr>
              <w:widowControl w:val="0"/>
              <w:spacing w:line="384" w:lineRule="auto"/>
              <w:ind w:firstLine="420" w:firstLineChars="200"/>
              <w:rPr>
                <w:rFonts w:hint="eastAsia" w:ascii="仿宋" w:hAnsi="仿宋" w:eastAsia="仿宋" w:cs="仿宋"/>
              </w:rPr>
            </w:pPr>
            <w:r>
              <w:rPr>
                <w:rFonts w:hint="eastAsia" w:ascii="仿宋" w:hAnsi="仿宋" w:eastAsia="仿宋" w:cs="仿宋"/>
              </w:rPr>
              <w:t>投标文件具有有效的目录索引，页码连续无错乱。标题、编号、正文、表格、签字盖章等排版规范，证书复印清晰的得4分，不满足不得分。</w:t>
            </w:r>
          </w:p>
        </w:tc>
      </w:tr>
      <w:tr w14:paraId="134A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05" w:type="dxa"/>
            <w:vMerge w:val="continue"/>
            <w:vAlign w:val="center"/>
          </w:tcPr>
          <w:p w14:paraId="4D0259A0">
            <w:pPr>
              <w:widowControl w:val="0"/>
              <w:spacing w:line="384" w:lineRule="auto"/>
              <w:jc w:val="center"/>
              <w:rPr>
                <w:rFonts w:hint="eastAsia" w:ascii="仿宋" w:hAnsi="仿宋" w:eastAsia="仿宋" w:cs="仿宋"/>
              </w:rPr>
            </w:pPr>
          </w:p>
        </w:tc>
        <w:tc>
          <w:tcPr>
            <w:tcW w:w="1072" w:type="dxa"/>
            <w:vMerge w:val="continue"/>
            <w:vAlign w:val="center"/>
          </w:tcPr>
          <w:p w14:paraId="22DB0850">
            <w:pPr>
              <w:widowControl w:val="0"/>
              <w:spacing w:line="384" w:lineRule="auto"/>
              <w:jc w:val="center"/>
              <w:rPr>
                <w:rFonts w:hint="eastAsia" w:ascii="仿宋" w:hAnsi="仿宋" w:eastAsia="仿宋" w:cs="仿宋"/>
              </w:rPr>
            </w:pPr>
          </w:p>
        </w:tc>
        <w:tc>
          <w:tcPr>
            <w:tcW w:w="1163" w:type="dxa"/>
            <w:vAlign w:val="center"/>
          </w:tcPr>
          <w:p w14:paraId="45A77403">
            <w:pPr>
              <w:widowControl w:val="0"/>
              <w:spacing w:line="384" w:lineRule="auto"/>
              <w:ind w:firstLine="210" w:firstLineChars="100"/>
              <w:jc w:val="both"/>
              <w:rPr>
                <w:rFonts w:hint="eastAsia" w:ascii="仿宋" w:hAnsi="仿宋" w:eastAsia="仿宋" w:cs="仿宋"/>
              </w:rPr>
            </w:pPr>
            <w:r>
              <w:rPr>
                <w:rFonts w:hint="eastAsia" w:ascii="仿宋" w:hAnsi="仿宋" w:eastAsia="仿宋" w:cs="仿宋"/>
              </w:rPr>
              <w:t>10分</w:t>
            </w:r>
          </w:p>
        </w:tc>
        <w:tc>
          <w:tcPr>
            <w:tcW w:w="5247" w:type="dxa"/>
            <w:vAlign w:val="center"/>
          </w:tcPr>
          <w:p w14:paraId="501B4DE9">
            <w:pPr>
              <w:widowControl w:val="0"/>
              <w:spacing w:line="384" w:lineRule="auto"/>
              <w:ind w:firstLine="420" w:firstLineChars="200"/>
              <w:rPr>
                <w:rFonts w:hint="eastAsia" w:ascii="仿宋" w:hAnsi="仿宋" w:eastAsia="仿宋" w:cs="仿宋"/>
                <w:kern w:val="2"/>
              </w:rPr>
            </w:pPr>
            <w:r>
              <w:rPr>
                <w:rFonts w:hint="eastAsia" w:ascii="仿宋" w:hAnsi="仿宋" w:eastAsia="仿宋" w:cs="仿宋"/>
                <w:kern w:val="2"/>
              </w:rPr>
              <w:t>近三年内在兰州地区完成同类项目</w:t>
            </w:r>
            <w:r>
              <w:rPr>
                <w:rFonts w:hint="eastAsia" w:ascii="仿宋" w:hAnsi="仿宋" w:eastAsia="仿宋" w:cs="仿宋"/>
                <w:kern w:val="2"/>
                <w:lang w:val="en-US" w:eastAsia="zh-CN"/>
              </w:rPr>
              <w:t>回收</w:t>
            </w:r>
            <w:r>
              <w:rPr>
                <w:rFonts w:hint="eastAsia" w:ascii="仿宋" w:hAnsi="仿宋" w:eastAsia="仿宋" w:cs="仿宋"/>
                <w:kern w:val="2"/>
              </w:rPr>
              <w:t>业绩，每有一项得2分，最高得10分。</w:t>
            </w:r>
          </w:p>
        </w:tc>
      </w:tr>
      <w:tr w14:paraId="0E8D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805" w:type="dxa"/>
            <w:vMerge w:val="restart"/>
            <w:vAlign w:val="center"/>
          </w:tcPr>
          <w:p w14:paraId="47714F0C">
            <w:pPr>
              <w:widowControl w:val="0"/>
              <w:spacing w:line="384" w:lineRule="auto"/>
              <w:jc w:val="center"/>
              <w:rPr>
                <w:rFonts w:hint="eastAsia" w:ascii="仿宋" w:hAnsi="仿宋" w:eastAsia="仿宋" w:cs="仿宋"/>
              </w:rPr>
            </w:pPr>
            <w:r>
              <w:rPr>
                <w:rFonts w:hint="eastAsia" w:ascii="仿宋" w:hAnsi="仿宋" w:eastAsia="仿宋" w:cs="仿宋"/>
              </w:rPr>
              <w:t>3</w:t>
            </w:r>
          </w:p>
        </w:tc>
        <w:tc>
          <w:tcPr>
            <w:tcW w:w="1072" w:type="dxa"/>
            <w:vMerge w:val="restart"/>
            <w:vAlign w:val="center"/>
          </w:tcPr>
          <w:p w14:paraId="27E96606">
            <w:pPr>
              <w:widowControl w:val="0"/>
              <w:spacing w:line="384" w:lineRule="auto"/>
              <w:jc w:val="center"/>
              <w:rPr>
                <w:rFonts w:hint="eastAsia" w:ascii="仿宋" w:hAnsi="仿宋" w:eastAsia="仿宋" w:cs="仿宋"/>
              </w:rPr>
            </w:pPr>
            <w:r>
              <w:rPr>
                <w:rFonts w:hint="eastAsia" w:ascii="仿宋" w:hAnsi="仿宋" w:eastAsia="仿宋" w:cs="仿宋"/>
              </w:rPr>
              <w:t>技术部分</w:t>
            </w:r>
          </w:p>
          <w:p w14:paraId="0BE8A015">
            <w:pPr>
              <w:widowControl w:val="0"/>
              <w:spacing w:line="384" w:lineRule="auto"/>
              <w:jc w:val="center"/>
              <w:rPr>
                <w:rFonts w:hint="eastAsia" w:ascii="仿宋" w:hAnsi="仿宋" w:eastAsia="仿宋" w:cs="仿宋"/>
              </w:rPr>
            </w:pPr>
            <w:r>
              <w:rPr>
                <w:rFonts w:hint="eastAsia" w:ascii="仿宋" w:hAnsi="仿宋" w:eastAsia="仿宋" w:cs="仿宋"/>
              </w:rPr>
              <w:t>（55分）</w:t>
            </w:r>
          </w:p>
        </w:tc>
        <w:tc>
          <w:tcPr>
            <w:tcW w:w="1163" w:type="dxa"/>
            <w:vAlign w:val="center"/>
          </w:tcPr>
          <w:p w14:paraId="52E662CA">
            <w:pPr>
              <w:widowControl w:val="0"/>
              <w:spacing w:line="384" w:lineRule="auto"/>
              <w:jc w:val="center"/>
              <w:rPr>
                <w:rFonts w:hint="eastAsia" w:ascii="仿宋" w:hAnsi="仿宋" w:eastAsia="仿宋" w:cs="仿宋"/>
              </w:rPr>
            </w:pPr>
            <w:r>
              <w:rPr>
                <w:rFonts w:hint="eastAsia" w:ascii="仿宋" w:hAnsi="仿宋" w:eastAsia="仿宋" w:cs="仿宋"/>
              </w:rPr>
              <w:t>10分</w:t>
            </w:r>
          </w:p>
        </w:tc>
        <w:tc>
          <w:tcPr>
            <w:tcW w:w="5247" w:type="dxa"/>
            <w:vAlign w:val="center"/>
          </w:tcPr>
          <w:p w14:paraId="074DD550">
            <w:pPr>
              <w:widowControl w:val="0"/>
              <w:spacing w:line="384" w:lineRule="auto"/>
              <w:ind w:firstLine="420" w:firstLineChars="200"/>
              <w:rPr>
                <w:rFonts w:hint="eastAsia" w:ascii="仿宋" w:hAnsi="仿宋" w:eastAsia="仿宋" w:cs="仿宋"/>
              </w:rPr>
            </w:pPr>
            <w:r>
              <w:rPr>
                <w:rFonts w:hint="eastAsia" w:ascii="仿宋" w:hAnsi="仿宋" w:eastAsia="仿宋" w:cs="仿宋"/>
              </w:rPr>
              <w:t>投标服务商具备完备的服务体系，培训方案及计划合理，维保服务文档完整、服务组织完善，优秀得 10 分；投标服务商具备完备的服务系统，培训方案及计划较合理，维保服务文档较完整，服务组织针对性不强，突发状况应急预案较良好得5 分；投标服务商具备服务体系，培训方案及计划不够合理，维保服务文档不够完整，服务无针对性，突发状况应急预案合理的得 3 分；投标服务商具备服务体系，培训方案及计划不合理，维保服务文档不完整，服务组织无针对性，突发状况应急预案不合理的得 0 分。</w:t>
            </w:r>
          </w:p>
        </w:tc>
      </w:tr>
      <w:tr w14:paraId="3A4C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05" w:type="dxa"/>
            <w:vMerge w:val="continue"/>
            <w:vAlign w:val="center"/>
          </w:tcPr>
          <w:p w14:paraId="57C62896">
            <w:pPr>
              <w:widowControl w:val="0"/>
              <w:spacing w:line="384" w:lineRule="auto"/>
              <w:jc w:val="center"/>
              <w:rPr>
                <w:rFonts w:hint="eastAsia" w:ascii="仿宋" w:hAnsi="仿宋" w:eastAsia="仿宋" w:cs="仿宋"/>
              </w:rPr>
            </w:pPr>
          </w:p>
        </w:tc>
        <w:tc>
          <w:tcPr>
            <w:tcW w:w="1072" w:type="dxa"/>
            <w:vMerge w:val="continue"/>
            <w:vAlign w:val="center"/>
          </w:tcPr>
          <w:p w14:paraId="4B0F5078">
            <w:pPr>
              <w:widowControl w:val="0"/>
              <w:spacing w:line="384" w:lineRule="auto"/>
              <w:jc w:val="center"/>
              <w:rPr>
                <w:rFonts w:hint="eastAsia" w:ascii="仿宋" w:hAnsi="仿宋" w:eastAsia="仿宋" w:cs="仿宋"/>
              </w:rPr>
            </w:pPr>
          </w:p>
        </w:tc>
        <w:tc>
          <w:tcPr>
            <w:tcW w:w="1163" w:type="dxa"/>
            <w:vAlign w:val="center"/>
          </w:tcPr>
          <w:p w14:paraId="2ADD2FE1">
            <w:pPr>
              <w:widowControl w:val="0"/>
              <w:spacing w:line="384" w:lineRule="auto"/>
              <w:jc w:val="center"/>
              <w:rPr>
                <w:rFonts w:hint="eastAsia" w:ascii="仿宋" w:hAnsi="仿宋" w:eastAsia="仿宋" w:cs="仿宋"/>
              </w:rPr>
            </w:pPr>
            <w:r>
              <w:rPr>
                <w:rFonts w:hint="eastAsia" w:ascii="仿宋" w:hAnsi="仿宋" w:eastAsia="仿宋" w:cs="仿宋"/>
              </w:rPr>
              <w:t>15分</w:t>
            </w:r>
          </w:p>
        </w:tc>
        <w:tc>
          <w:tcPr>
            <w:tcW w:w="5247" w:type="dxa"/>
            <w:vAlign w:val="center"/>
          </w:tcPr>
          <w:p w14:paraId="44DEAD1C">
            <w:pPr>
              <w:pStyle w:val="2"/>
              <w:widowControl w:val="0"/>
              <w:spacing w:line="360" w:lineRule="auto"/>
              <w:rPr>
                <w:rFonts w:hint="eastAsia" w:ascii="仿宋" w:hAnsi="仿宋" w:eastAsia="仿宋" w:cs="仿宋"/>
              </w:rPr>
            </w:pPr>
            <w:r>
              <w:rPr>
                <w:rFonts w:hint="eastAsia" w:ascii="仿宋" w:hAnsi="仿宋" w:eastAsia="仿宋" w:cs="仿宋"/>
              </w:rPr>
              <w:t>投标服务商具备本地化服务网点，</w:t>
            </w:r>
            <w:r>
              <w:rPr>
                <w:rFonts w:hint="eastAsia" w:ascii="仿宋" w:hAnsi="仿宋" w:eastAsia="仿宋" w:cs="仿宋"/>
                <w:lang w:val="en-US" w:eastAsia="zh-CN"/>
              </w:rPr>
              <w:t>无本地化服务网点</w:t>
            </w:r>
            <w:r>
              <w:rPr>
                <w:rFonts w:hint="eastAsia" w:ascii="仿宋" w:hAnsi="仿宋" w:eastAsia="仿宋" w:cs="仿宋"/>
              </w:rPr>
              <w:t>不得分。</w:t>
            </w:r>
          </w:p>
          <w:p w14:paraId="6430D89E">
            <w:pPr>
              <w:pStyle w:val="2"/>
              <w:widowControl w:val="0"/>
              <w:spacing w:line="360" w:lineRule="auto"/>
              <w:rPr>
                <w:rFonts w:hint="eastAsia" w:ascii="仿宋" w:hAnsi="仿宋" w:eastAsia="仿宋" w:cs="仿宋"/>
              </w:rPr>
            </w:pPr>
          </w:p>
        </w:tc>
      </w:tr>
      <w:tr w14:paraId="22CF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05" w:type="dxa"/>
            <w:vMerge w:val="continue"/>
            <w:vAlign w:val="center"/>
          </w:tcPr>
          <w:p w14:paraId="7E707BEC">
            <w:pPr>
              <w:widowControl w:val="0"/>
              <w:spacing w:line="384" w:lineRule="auto"/>
              <w:jc w:val="center"/>
              <w:rPr>
                <w:rFonts w:hint="eastAsia" w:ascii="仿宋" w:hAnsi="仿宋" w:eastAsia="仿宋" w:cs="仿宋"/>
              </w:rPr>
            </w:pPr>
          </w:p>
        </w:tc>
        <w:tc>
          <w:tcPr>
            <w:tcW w:w="1072" w:type="dxa"/>
            <w:vMerge w:val="continue"/>
            <w:vAlign w:val="center"/>
          </w:tcPr>
          <w:p w14:paraId="75C7C75F">
            <w:pPr>
              <w:widowControl w:val="0"/>
              <w:spacing w:line="384" w:lineRule="auto"/>
              <w:jc w:val="center"/>
              <w:rPr>
                <w:rFonts w:hint="eastAsia" w:ascii="仿宋" w:hAnsi="仿宋" w:eastAsia="仿宋" w:cs="仿宋"/>
              </w:rPr>
            </w:pPr>
          </w:p>
        </w:tc>
        <w:tc>
          <w:tcPr>
            <w:tcW w:w="1163" w:type="dxa"/>
            <w:vAlign w:val="center"/>
          </w:tcPr>
          <w:p w14:paraId="22992DCE">
            <w:pPr>
              <w:widowControl w:val="0"/>
              <w:spacing w:line="384" w:lineRule="auto"/>
              <w:jc w:val="center"/>
              <w:rPr>
                <w:rFonts w:hint="eastAsia" w:ascii="仿宋" w:hAnsi="仿宋" w:eastAsia="仿宋" w:cs="仿宋"/>
              </w:rPr>
            </w:pPr>
            <w:r>
              <w:rPr>
                <w:rFonts w:hint="eastAsia" w:ascii="仿宋" w:hAnsi="仿宋" w:eastAsia="仿宋" w:cs="仿宋"/>
              </w:rPr>
              <w:t>20分</w:t>
            </w:r>
          </w:p>
        </w:tc>
        <w:tc>
          <w:tcPr>
            <w:tcW w:w="5247" w:type="dxa"/>
            <w:vAlign w:val="center"/>
          </w:tcPr>
          <w:p w14:paraId="47A98FA1">
            <w:pPr>
              <w:pStyle w:val="2"/>
              <w:widowControl w:val="0"/>
              <w:spacing w:line="360" w:lineRule="auto"/>
              <w:rPr>
                <w:rFonts w:hint="eastAsia" w:ascii="仿宋" w:hAnsi="仿宋" w:eastAsia="仿宋" w:cs="仿宋"/>
              </w:rPr>
            </w:pPr>
            <w:r>
              <w:rPr>
                <w:rFonts w:hint="eastAsia" w:ascii="仿宋" w:hAnsi="仿宋" w:eastAsia="仿宋" w:cs="仿宋"/>
              </w:rPr>
              <w:t>完全响应磋商文件服务要求及责任范围内容条款的得20 分，未完全响应磋商文件服务要求及责任范围的每少一条减 1 分，扣完为止。</w:t>
            </w:r>
          </w:p>
        </w:tc>
      </w:tr>
      <w:tr w14:paraId="404F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05" w:type="dxa"/>
            <w:vMerge w:val="continue"/>
            <w:vAlign w:val="center"/>
          </w:tcPr>
          <w:p w14:paraId="4FBE5771">
            <w:pPr>
              <w:widowControl w:val="0"/>
              <w:spacing w:line="384" w:lineRule="auto"/>
              <w:jc w:val="center"/>
              <w:rPr>
                <w:rFonts w:hint="eastAsia" w:ascii="仿宋" w:hAnsi="仿宋" w:eastAsia="仿宋" w:cs="仿宋"/>
              </w:rPr>
            </w:pPr>
          </w:p>
        </w:tc>
        <w:tc>
          <w:tcPr>
            <w:tcW w:w="1072" w:type="dxa"/>
            <w:vMerge w:val="continue"/>
            <w:vAlign w:val="center"/>
          </w:tcPr>
          <w:p w14:paraId="0245A92E">
            <w:pPr>
              <w:widowControl w:val="0"/>
              <w:spacing w:line="384" w:lineRule="auto"/>
              <w:jc w:val="center"/>
              <w:rPr>
                <w:rFonts w:hint="eastAsia" w:ascii="仿宋" w:hAnsi="仿宋" w:eastAsia="仿宋" w:cs="仿宋"/>
              </w:rPr>
            </w:pPr>
          </w:p>
        </w:tc>
        <w:tc>
          <w:tcPr>
            <w:tcW w:w="1163" w:type="dxa"/>
            <w:vAlign w:val="center"/>
          </w:tcPr>
          <w:p w14:paraId="38D10D6B">
            <w:pPr>
              <w:widowControl w:val="0"/>
              <w:spacing w:line="384" w:lineRule="auto"/>
              <w:jc w:val="center"/>
              <w:rPr>
                <w:rFonts w:hint="eastAsia" w:ascii="仿宋" w:hAnsi="仿宋" w:eastAsia="仿宋" w:cs="仿宋"/>
                <w:lang w:eastAsia="zh-CN"/>
              </w:rPr>
            </w:pPr>
            <w:r>
              <w:rPr>
                <w:rFonts w:hint="eastAsia" w:ascii="仿宋" w:hAnsi="仿宋" w:eastAsia="仿宋" w:cs="仿宋"/>
              </w:rPr>
              <w:t>10</w:t>
            </w:r>
            <w:r>
              <w:rPr>
                <w:rFonts w:hint="eastAsia" w:ascii="仿宋" w:hAnsi="仿宋" w:eastAsia="仿宋" w:cs="仿宋"/>
                <w:lang w:eastAsia="zh-CN"/>
              </w:rPr>
              <w:t>分</w:t>
            </w:r>
          </w:p>
        </w:tc>
        <w:tc>
          <w:tcPr>
            <w:tcW w:w="5247" w:type="dxa"/>
            <w:vAlign w:val="center"/>
          </w:tcPr>
          <w:p w14:paraId="52DECBB3">
            <w:pPr>
              <w:pStyle w:val="2"/>
              <w:widowControl w:val="0"/>
              <w:spacing w:line="360" w:lineRule="auto"/>
              <w:rPr>
                <w:rFonts w:hint="eastAsia" w:ascii="仿宋" w:hAnsi="仿宋" w:eastAsia="仿宋" w:cs="仿宋"/>
              </w:rPr>
            </w:pPr>
            <w:r>
              <w:rPr>
                <w:rFonts w:hint="eastAsia" w:ascii="仿宋" w:hAnsi="仿宋" w:eastAsia="仿宋" w:cs="仿宋"/>
                <w:lang w:val="zh-CN" w:eastAsia="zh-CN"/>
              </w:rPr>
              <w:t>根据各投标人服务承诺进行评定，完全相应招标参数服务要求</w:t>
            </w:r>
            <w:r>
              <w:rPr>
                <w:rFonts w:hint="eastAsia" w:ascii="仿宋" w:hAnsi="仿宋" w:eastAsia="仿宋" w:cs="仿宋"/>
                <w:lang w:val="en-US" w:eastAsia="zh-CN"/>
              </w:rPr>
              <w:t>得10</w:t>
            </w:r>
            <w:r>
              <w:rPr>
                <w:rFonts w:hint="eastAsia" w:ascii="仿宋" w:hAnsi="仿宋" w:eastAsia="仿宋" w:cs="仿宋"/>
                <w:lang w:val="zh-CN" w:eastAsia="zh-CN"/>
              </w:rPr>
              <w:t xml:space="preserve"> 分，不完全相应或未响应不得分。</w:t>
            </w:r>
          </w:p>
        </w:tc>
      </w:tr>
    </w:tbl>
    <w:p w14:paraId="5ED3B1DF">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七、考核管理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710"/>
        <w:gridCol w:w="2416"/>
        <w:gridCol w:w="2032"/>
        <w:gridCol w:w="784"/>
        <w:gridCol w:w="794"/>
      </w:tblGrid>
      <w:tr w14:paraId="7400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83" w:type="dxa"/>
            <w:noWrap w:val="0"/>
            <w:vAlign w:val="center"/>
          </w:tcPr>
          <w:p w14:paraId="53029B72">
            <w:pPr>
              <w:jc w:val="center"/>
              <w:rPr>
                <w:rFonts w:hint="eastAsia" w:ascii="仿宋" w:hAnsi="仿宋" w:eastAsia="仿宋" w:cs="仿宋"/>
                <w:sz w:val="24"/>
                <w:szCs w:val="32"/>
              </w:rPr>
            </w:pPr>
            <w:r>
              <w:rPr>
                <w:rFonts w:hint="eastAsia" w:ascii="仿宋" w:hAnsi="仿宋" w:eastAsia="仿宋" w:cs="仿宋"/>
                <w:sz w:val="24"/>
                <w:szCs w:val="32"/>
              </w:rPr>
              <w:t>序号</w:t>
            </w:r>
          </w:p>
        </w:tc>
        <w:tc>
          <w:tcPr>
            <w:tcW w:w="1710" w:type="dxa"/>
            <w:noWrap w:val="0"/>
            <w:vAlign w:val="center"/>
          </w:tcPr>
          <w:p w14:paraId="1BC5491E">
            <w:pPr>
              <w:jc w:val="center"/>
              <w:rPr>
                <w:rFonts w:hint="eastAsia" w:ascii="仿宋" w:hAnsi="仿宋" w:eastAsia="仿宋" w:cs="仿宋"/>
                <w:sz w:val="24"/>
                <w:szCs w:val="32"/>
              </w:rPr>
            </w:pPr>
            <w:r>
              <w:rPr>
                <w:rFonts w:hint="eastAsia" w:ascii="仿宋" w:hAnsi="仿宋" w:eastAsia="仿宋" w:cs="仿宋"/>
                <w:sz w:val="24"/>
                <w:szCs w:val="32"/>
              </w:rPr>
              <w:t>考核项目</w:t>
            </w:r>
          </w:p>
        </w:tc>
        <w:tc>
          <w:tcPr>
            <w:tcW w:w="2416" w:type="dxa"/>
            <w:noWrap w:val="0"/>
            <w:vAlign w:val="center"/>
          </w:tcPr>
          <w:p w14:paraId="64AF2C26">
            <w:pPr>
              <w:jc w:val="center"/>
              <w:rPr>
                <w:rFonts w:hint="eastAsia" w:ascii="仿宋" w:hAnsi="仿宋" w:eastAsia="仿宋" w:cs="仿宋"/>
                <w:sz w:val="24"/>
                <w:szCs w:val="32"/>
              </w:rPr>
            </w:pPr>
            <w:r>
              <w:rPr>
                <w:rFonts w:hint="eastAsia" w:ascii="仿宋" w:hAnsi="仿宋" w:eastAsia="仿宋" w:cs="仿宋"/>
                <w:sz w:val="24"/>
                <w:szCs w:val="32"/>
              </w:rPr>
              <w:t>考核内容</w:t>
            </w:r>
          </w:p>
        </w:tc>
        <w:tc>
          <w:tcPr>
            <w:tcW w:w="2032" w:type="dxa"/>
            <w:noWrap w:val="0"/>
            <w:vAlign w:val="center"/>
          </w:tcPr>
          <w:p w14:paraId="60132773">
            <w:pPr>
              <w:jc w:val="center"/>
              <w:rPr>
                <w:rFonts w:hint="eastAsia" w:ascii="仿宋" w:hAnsi="仿宋" w:eastAsia="仿宋" w:cs="仿宋"/>
                <w:sz w:val="24"/>
                <w:szCs w:val="32"/>
              </w:rPr>
            </w:pPr>
            <w:r>
              <w:rPr>
                <w:rFonts w:hint="eastAsia" w:ascii="仿宋" w:hAnsi="仿宋" w:eastAsia="仿宋" w:cs="仿宋"/>
                <w:sz w:val="24"/>
                <w:szCs w:val="32"/>
              </w:rPr>
              <w:t>考核标准</w:t>
            </w:r>
          </w:p>
        </w:tc>
        <w:tc>
          <w:tcPr>
            <w:tcW w:w="784" w:type="dxa"/>
            <w:noWrap w:val="0"/>
            <w:vAlign w:val="center"/>
          </w:tcPr>
          <w:p w14:paraId="7A5807F0">
            <w:pPr>
              <w:jc w:val="center"/>
              <w:rPr>
                <w:rFonts w:hint="eastAsia" w:ascii="仿宋" w:hAnsi="仿宋" w:eastAsia="仿宋" w:cs="仿宋"/>
                <w:sz w:val="24"/>
                <w:szCs w:val="32"/>
              </w:rPr>
            </w:pPr>
            <w:r>
              <w:rPr>
                <w:rFonts w:hint="eastAsia" w:ascii="仿宋" w:hAnsi="仿宋" w:eastAsia="仿宋" w:cs="仿宋"/>
                <w:sz w:val="24"/>
                <w:szCs w:val="32"/>
              </w:rPr>
              <w:t>分值</w:t>
            </w:r>
          </w:p>
        </w:tc>
        <w:tc>
          <w:tcPr>
            <w:tcW w:w="794" w:type="dxa"/>
            <w:noWrap w:val="0"/>
            <w:vAlign w:val="center"/>
          </w:tcPr>
          <w:p w14:paraId="167B0593">
            <w:pPr>
              <w:jc w:val="center"/>
              <w:rPr>
                <w:rFonts w:hint="eastAsia" w:ascii="仿宋" w:hAnsi="仿宋" w:eastAsia="仿宋" w:cs="仿宋"/>
                <w:sz w:val="24"/>
                <w:szCs w:val="32"/>
              </w:rPr>
            </w:pPr>
            <w:r>
              <w:rPr>
                <w:rFonts w:hint="eastAsia" w:ascii="仿宋" w:hAnsi="仿宋" w:eastAsia="仿宋" w:cs="仿宋"/>
                <w:sz w:val="24"/>
                <w:szCs w:val="32"/>
              </w:rPr>
              <w:t>评分</w:t>
            </w:r>
          </w:p>
        </w:tc>
      </w:tr>
      <w:tr w14:paraId="1B37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783" w:type="dxa"/>
            <w:noWrap w:val="0"/>
            <w:vAlign w:val="center"/>
          </w:tcPr>
          <w:p w14:paraId="28C711C8">
            <w:pPr>
              <w:jc w:val="center"/>
              <w:rPr>
                <w:rFonts w:hint="eastAsia" w:ascii="仿宋" w:hAnsi="仿宋" w:eastAsia="仿宋" w:cs="仿宋"/>
                <w:sz w:val="24"/>
                <w:szCs w:val="32"/>
              </w:rPr>
            </w:pPr>
            <w:r>
              <w:rPr>
                <w:rFonts w:hint="eastAsia" w:ascii="仿宋" w:hAnsi="仿宋" w:eastAsia="仿宋" w:cs="仿宋"/>
                <w:sz w:val="24"/>
                <w:szCs w:val="32"/>
              </w:rPr>
              <w:t>1</w:t>
            </w:r>
          </w:p>
        </w:tc>
        <w:tc>
          <w:tcPr>
            <w:tcW w:w="1710" w:type="dxa"/>
            <w:noWrap w:val="0"/>
            <w:vAlign w:val="center"/>
          </w:tcPr>
          <w:p w14:paraId="2B6384DC">
            <w:pPr>
              <w:jc w:val="center"/>
              <w:rPr>
                <w:rFonts w:hint="eastAsia" w:ascii="仿宋" w:hAnsi="仿宋" w:eastAsia="仿宋" w:cs="仿宋"/>
                <w:sz w:val="24"/>
                <w:szCs w:val="32"/>
                <w:lang w:eastAsia="zh-CN"/>
              </w:rPr>
            </w:pPr>
            <w:r>
              <w:rPr>
                <w:rFonts w:hint="eastAsia" w:ascii="仿宋" w:hAnsi="仿宋" w:eastAsia="仿宋" w:cs="仿宋"/>
                <w:sz w:val="24"/>
                <w:szCs w:val="32"/>
                <w:lang w:val="en-US" w:eastAsia="zh-CN"/>
              </w:rPr>
              <w:t>及时回收</w:t>
            </w:r>
          </w:p>
        </w:tc>
        <w:tc>
          <w:tcPr>
            <w:tcW w:w="2416" w:type="dxa"/>
            <w:noWrap w:val="0"/>
            <w:vAlign w:val="top"/>
          </w:tcPr>
          <w:p w14:paraId="6FCC5EE5">
            <w:pPr>
              <w:rPr>
                <w:rFonts w:hint="eastAsia" w:ascii="仿宋" w:hAnsi="仿宋" w:eastAsia="仿宋" w:cs="仿宋"/>
                <w:sz w:val="32"/>
                <w:szCs w:val="40"/>
              </w:rPr>
            </w:pPr>
            <w:r>
              <w:rPr>
                <w:rFonts w:hint="eastAsia" w:ascii="仿宋" w:hAnsi="仿宋" w:eastAsia="仿宋" w:cs="仿宋"/>
                <w:sz w:val="24"/>
                <w:szCs w:val="32"/>
                <w:lang w:val="en-US" w:eastAsia="zh-CN"/>
              </w:rPr>
              <w:t>必须及时输液瓶完成回收</w:t>
            </w:r>
            <w:r>
              <w:rPr>
                <w:rFonts w:hint="eastAsia" w:ascii="仿宋" w:hAnsi="仿宋" w:eastAsia="仿宋" w:cs="仿宋"/>
                <w:sz w:val="24"/>
                <w:szCs w:val="32"/>
              </w:rPr>
              <w:t>。</w:t>
            </w:r>
          </w:p>
        </w:tc>
        <w:tc>
          <w:tcPr>
            <w:tcW w:w="2032" w:type="dxa"/>
            <w:noWrap w:val="0"/>
            <w:vAlign w:val="top"/>
          </w:tcPr>
          <w:p w14:paraId="5713EC1A">
            <w:pPr>
              <w:rPr>
                <w:rFonts w:hint="eastAsia" w:ascii="仿宋" w:hAnsi="仿宋" w:eastAsia="仿宋" w:cs="仿宋"/>
                <w:sz w:val="24"/>
                <w:szCs w:val="32"/>
              </w:rPr>
            </w:pPr>
          </w:p>
          <w:p w14:paraId="33001787">
            <w:pPr>
              <w:rPr>
                <w:rFonts w:hint="eastAsia" w:ascii="仿宋" w:hAnsi="仿宋" w:eastAsia="仿宋" w:cs="仿宋"/>
                <w:sz w:val="32"/>
                <w:szCs w:val="40"/>
              </w:rPr>
            </w:pPr>
            <w:r>
              <w:rPr>
                <w:rFonts w:hint="eastAsia" w:ascii="仿宋" w:hAnsi="仿宋" w:eastAsia="仿宋" w:cs="仿宋"/>
                <w:sz w:val="24"/>
                <w:szCs w:val="32"/>
                <w:lang w:val="en-US" w:eastAsia="zh-CN"/>
              </w:rPr>
              <w:t>回收不及时每次扣</w:t>
            </w:r>
            <w:r>
              <w:rPr>
                <w:rFonts w:hint="eastAsia" w:ascii="仿宋" w:hAnsi="仿宋" w:eastAsia="仿宋" w:cs="仿宋"/>
                <w:sz w:val="24"/>
                <w:szCs w:val="32"/>
              </w:rPr>
              <w:t>200元</w:t>
            </w:r>
          </w:p>
        </w:tc>
        <w:tc>
          <w:tcPr>
            <w:tcW w:w="784" w:type="dxa"/>
            <w:noWrap w:val="0"/>
            <w:vAlign w:val="center"/>
          </w:tcPr>
          <w:p w14:paraId="38B5D7E0">
            <w:pPr>
              <w:ind w:firstLine="240" w:firstLineChars="100"/>
              <w:rPr>
                <w:rFonts w:hint="eastAsia" w:ascii="仿宋" w:hAnsi="仿宋" w:eastAsia="仿宋" w:cs="仿宋"/>
                <w:sz w:val="32"/>
                <w:szCs w:val="40"/>
              </w:rPr>
            </w:pPr>
            <w:r>
              <w:rPr>
                <w:rFonts w:hint="eastAsia" w:ascii="仿宋" w:hAnsi="仿宋" w:eastAsia="仿宋" w:cs="仿宋"/>
                <w:sz w:val="24"/>
                <w:szCs w:val="32"/>
              </w:rPr>
              <w:t>-2</w:t>
            </w:r>
          </w:p>
        </w:tc>
        <w:tc>
          <w:tcPr>
            <w:tcW w:w="794" w:type="dxa"/>
            <w:noWrap w:val="0"/>
            <w:vAlign w:val="top"/>
          </w:tcPr>
          <w:p w14:paraId="42AFE1FF">
            <w:pPr>
              <w:rPr>
                <w:rFonts w:hint="eastAsia" w:ascii="仿宋" w:hAnsi="仿宋" w:eastAsia="仿宋" w:cs="仿宋"/>
                <w:sz w:val="32"/>
                <w:szCs w:val="40"/>
              </w:rPr>
            </w:pPr>
          </w:p>
        </w:tc>
      </w:tr>
      <w:tr w14:paraId="10AD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783" w:type="dxa"/>
            <w:noWrap w:val="0"/>
            <w:vAlign w:val="center"/>
          </w:tcPr>
          <w:p w14:paraId="642B5F0E">
            <w:pPr>
              <w:jc w:val="center"/>
              <w:rPr>
                <w:rFonts w:hint="eastAsia" w:ascii="仿宋" w:hAnsi="仿宋" w:eastAsia="仿宋" w:cs="仿宋"/>
                <w:sz w:val="24"/>
                <w:szCs w:val="32"/>
              </w:rPr>
            </w:pPr>
            <w:r>
              <w:rPr>
                <w:rFonts w:hint="eastAsia" w:ascii="仿宋" w:hAnsi="仿宋" w:eastAsia="仿宋" w:cs="仿宋"/>
                <w:sz w:val="24"/>
                <w:szCs w:val="32"/>
              </w:rPr>
              <w:t>2</w:t>
            </w:r>
          </w:p>
        </w:tc>
        <w:tc>
          <w:tcPr>
            <w:tcW w:w="1710" w:type="dxa"/>
            <w:noWrap w:val="0"/>
            <w:vAlign w:val="center"/>
          </w:tcPr>
          <w:p w14:paraId="2E2048E0">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科室投诉</w:t>
            </w:r>
          </w:p>
        </w:tc>
        <w:tc>
          <w:tcPr>
            <w:tcW w:w="2416" w:type="dxa"/>
            <w:noWrap w:val="0"/>
            <w:vAlign w:val="top"/>
          </w:tcPr>
          <w:p w14:paraId="74407150">
            <w:pPr>
              <w:rPr>
                <w:rFonts w:hint="default" w:ascii="仿宋" w:hAnsi="仿宋" w:eastAsia="仿宋" w:cs="仿宋"/>
                <w:sz w:val="32"/>
                <w:szCs w:val="40"/>
                <w:lang w:val="en-US" w:eastAsia="zh-CN"/>
              </w:rPr>
            </w:pPr>
            <w:r>
              <w:rPr>
                <w:rFonts w:hint="eastAsia" w:ascii="仿宋" w:hAnsi="仿宋" w:eastAsia="仿宋" w:cs="仿宋"/>
                <w:sz w:val="24"/>
                <w:szCs w:val="32"/>
                <w:lang w:val="en-US" w:eastAsia="zh-CN"/>
              </w:rPr>
              <w:t>若有科室投诉回收不规范或未按要求回收</w:t>
            </w:r>
          </w:p>
        </w:tc>
        <w:tc>
          <w:tcPr>
            <w:tcW w:w="2032" w:type="dxa"/>
            <w:noWrap w:val="0"/>
            <w:vAlign w:val="top"/>
          </w:tcPr>
          <w:p w14:paraId="190E6CA3">
            <w:pPr>
              <w:rPr>
                <w:rFonts w:hint="eastAsia" w:ascii="仿宋" w:hAnsi="仿宋" w:eastAsia="仿宋" w:cs="仿宋"/>
                <w:sz w:val="24"/>
                <w:szCs w:val="32"/>
              </w:rPr>
            </w:pPr>
          </w:p>
          <w:p w14:paraId="228DBC54">
            <w:pPr>
              <w:rPr>
                <w:rFonts w:hint="eastAsia" w:ascii="仿宋" w:hAnsi="仿宋" w:eastAsia="仿宋" w:cs="仿宋"/>
                <w:sz w:val="32"/>
                <w:szCs w:val="40"/>
              </w:rPr>
            </w:pPr>
            <w:r>
              <w:rPr>
                <w:rFonts w:hint="eastAsia" w:ascii="仿宋" w:hAnsi="仿宋" w:eastAsia="仿宋" w:cs="仿宋"/>
                <w:sz w:val="24"/>
                <w:szCs w:val="32"/>
              </w:rPr>
              <w:t>每</w:t>
            </w:r>
            <w:r>
              <w:rPr>
                <w:rFonts w:hint="eastAsia" w:ascii="仿宋" w:hAnsi="仿宋" w:eastAsia="仿宋" w:cs="仿宋"/>
                <w:sz w:val="24"/>
                <w:szCs w:val="32"/>
                <w:lang w:val="en-US" w:eastAsia="zh-CN"/>
              </w:rPr>
              <w:t>发生</w:t>
            </w:r>
            <w:r>
              <w:rPr>
                <w:rFonts w:hint="eastAsia" w:ascii="仿宋" w:hAnsi="仿宋" w:eastAsia="仿宋" w:cs="仿宋"/>
                <w:sz w:val="24"/>
                <w:szCs w:val="32"/>
              </w:rPr>
              <w:t>一次扣除</w:t>
            </w:r>
            <w:r>
              <w:rPr>
                <w:rFonts w:hint="eastAsia" w:ascii="仿宋" w:hAnsi="仿宋" w:eastAsia="仿宋" w:cs="仿宋"/>
                <w:sz w:val="24"/>
                <w:szCs w:val="32"/>
                <w:lang w:val="en-US" w:eastAsia="zh-CN"/>
              </w:rPr>
              <w:t>500</w:t>
            </w:r>
            <w:r>
              <w:rPr>
                <w:rFonts w:hint="eastAsia" w:ascii="仿宋" w:hAnsi="仿宋" w:eastAsia="仿宋" w:cs="仿宋"/>
                <w:sz w:val="24"/>
                <w:szCs w:val="32"/>
              </w:rPr>
              <w:t>元</w:t>
            </w:r>
          </w:p>
        </w:tc>
        <w:tc>
          <w:tcPr>
            <w:tcW w:w="784" w:type="dxa"/>
            <w:noWrap w:val="0"/>
            <w:vAlign w:val="center"/>
          </w:tcPr>
          <w:p w14:paraId="72563B4D">
            <w:pPr>
              <w:rPr>
                <w:rFonts w:hint="eastAsia" w:ascii="仿宋" w:hAnsi="仿宋" w:eastAsia="仿宋" w:cs="仿宋"/>
                <w:sz w:val="24"/>
                <w:szCs w:val="32"/>
              </w:rPr>
            </w:pPr>
          </w:p>
          <w:p w14:paraId="18668B6E">
            <w:pPr>
              <w:jc w:val="center"/>
              <w:rPr>
                <w:rFonts w:hint="eastAsia" w:ascii="仿宋" w:hAnsi="仿宋" w:eastAsia="仿宋" w:cs="仿宋"/>
                <w:sz w:val="24"/>
                <w:szCs w:val="32"/>
                <w:lang w:val="en-US" w:eastAsia="zh-CN"/>
              </w:rPr>
            </w:pPr>
            <w:r>
              <w:rPr>
                <w:rFonts w:hint="eastAsia" w:ascii="仿宋" w:hAnsi="仿宋" w:eastAsia="仿宋" w:cs="仿宋"/>
                <w:sz w:val="24"/>
                <w:szCs w:val="32"/>
              </w:rPr>
              <w:t xml:space="preserve"> -</w:t>
            </w:r>
            <w:r>
              <w:rPr>
                <w:rFonts w:hint="eastAsia" w:ascii="仿宋" w:hAnsi="仿宋" w:eastAsia="仿宋" w:cs="仿宋"/>
                <w:sz w:val="24"/>
                <w:szCs w:val="32"/>
                <w:lang w:val="en-US" w:eastAsia="zh-CN"/>
              </w:rPr>
              <w:t>5</w:t>
            </w:r>
          </w:p>
        </w:tc>
        <w:tc>
          <w:tcPr>
            <w:tcW w:w="794" w:type="dxa"/>
            <w:noWrap w:val="0"/>
            <w:vAlign w:val="top"/>
          </w:tcPr>
          <w:p w14:paraId="6ED88343">
            <w:pPr>
              <w:rPr>
                <w:rFonts w:hint="eastAsia" w:ascii="仿宋" w:hAnsi="仿宋" w:eastAsia="仿宋" w:cs="仿宋"/>
                <w:sz w:val="32"/>
                <w:szCs w:val="40"/>
              </w:rPr>
            </w:pPr>
          </w:p>
        </w:tc>
      </w:tr>
      <w:tr w14:paraId="54E9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83" w:type="dxa"/>
            <w:noWrap w:val="0"/>
            <w:vAlign w:val="center"/>
          </w:tcPr>
          <w:p w14:paraId="4F2A8F4D">
            <w:pPr>
              <w:jc w:val="center"/>
              <w:rPr>
                <w:rFonts w:hint="eastAsia" w:ascii="仿宋" w:hAnsi="仿宋" w:eastAsia="仿宋" w:cs="仿宋"/>
                <w:sz w:val="24"/>
                <w:szCs w:val="32"/>
              </w:rPr>
            </w:pPr>
            <w:r>
              <w:rPr>
                <w:rFonts w:hint="eastAsia" w:ascii="仿宋" w:hAnsi="仿宋" w:eastAsia="仿宋" w:cs="仿宋"/>
                <w:sz w:val="24"/>
                <w:szCs w:val="32"/>
              </w:rPr>
              <w:t>3</w:t>
            </w:r>
          </w:p>
        </w:tc>
        <w:tc>
          <w:tcPr>
            <w:tcW w:w="1710" w:type="dxa"/>
            <w:noWrap w:val="0"/>
            <w:vAlign w:val="center"/>
          </w:tcPr>
          <w:p w14:paraId="3F72A4D4">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暂存点要求</w:t>
            </w:r>
          </w:p>
        </w:tc>
        <w:tc>
          <w:tcPr>
            <w:tcW w:w="2416" w:type="dxa"/>
            <w:noWrap w:val="0"/>
            <w:vAlign w:val="top"/>
          </w:tcPr>
          <w:p w14:paraId="3636C315">
            <w:pPr>
              <w:rPr>
                <w:rFonts w:hint="default" w:ascii="仿宋" w:hAnsi="仿宋" w:eastAsia="仿宋" w:cs="仿宋"/>
                <w:sz w:val="32"/>
                <w:szCs w:val="40"/>
                <w:lang w:val="en-US" w:eastAsia="zh-CN"/>
              </w:rPr>
            </w:pPr>
            <w:r>
              <w:rPr>
                <w:rFonts w:hint="eastAsia" w:ascii="仿宋" w:hAnsi="仿宋" w:eastAsia="仿宋" w:cs="仿宋"/>
                <w:sz w:val="24"/>
                <w:szCs w:val="32"/>
                <w:lang w:val="en-US" w:eastAsia="zh-CN"/>
              </w:rPr>
              <w:t>必须保证暂存点环境清洁</w:t>
            </w:r>
          </w:p>
        </w:tc>
        <w:tc>
          <w:tcPr>
            <w:tcW w:w="2032" w:type="dxa"/>
            <w:noWrap w:val="0"/>
            <w:vAlign w:val="top"/>
          </w:tcPr>
          <w:p w14:paraId="1C26EEF8">
            <w:pPr>
              <w:rPr>
                <w:rFonts w:hint="eastAsia" w:ascii="仿宋" w:hAnsi="仿宋" w:eastAsia="仿宋" w:cs="仿宋"/>
                <w:sz w:val="32"/>
                <w:szCs w:val="40"/>
              </w:rPr>
            </w:pPr>
            <w:r>
              <w:rPr>
                <w:rFonts w:hint="eastAsia" w:ascii="仿宋" w:hAnsi="仿宋" w:eastAsia="仿宋" w:cs="仿宋"/>
                <w:sz w:val="24"/>
                <w:szCs w:val="32"/>
              </w:rPr>
              <w:t>每出现一次，扣除</w:t>
            </w:r>
            <w:r>
              <w:rPr>
                <w:rFonts w:hint="eastAsia" w:ascii="仿宋" w:hAnsi="仿宋" w:eastAsia="仿宋" w:cs="仿宋"/>
                <w:sz w:val="24"/>
                <w:szCs w:val="32"/>
                <w:lang w:val="en-US" w:eastAsia="zh-CN"/>
              </w:rPr>
              <w:t>200</w:t>
            </w:r>
            <w:r>
              <w:rPr>
                <w:rFonts w:hint="eastAsia" w:ascii="仿宋" w:hAnsi="仿宋" w:eastAsia="仿宋" w:cs="仿宋"/>
                <w:sz w:val="24"/>
                <w:szCs w:val="32"/>
              </w:rPr>
              <w:t>元</w:t>
            </w:r>
          </w:p>
        </w:tc>
        <w:tc>
          <w:tcPr>
            <w:tcW w:w="784" w:type="dxa"/>
            <w:noWrap w:val="0"/>
            <w:vAlign w:val="center"/>
          </w:tcPr>
          <w:p w14:paraId="2752F7A7">
            <w:pPr>
              <w:jc w:val="center"/>
              <w:rPr>
                <w:rFonts w:hint="eastAsia" w:ascii="仿宋" w:hAnsi="仿宋" w:eastAsia="仿宋" w:cs="仿宋"/>
                <w:sz w:val="24"/>
                <w:szCs w:val="32"/>
              </w:rPr>
            </w:pPr>
          </w:p>
          <w:p w14:paraId="52F07581">
            <w:pPr>
              <w:jc w:val="center"/>
              <w:rPr>
                <w:rFonts w:hint="eastAsia" w:ascii="仿宋" w:hAnsi="仿宋" w:eastAsia="仿宋" w:cs="仿宋"/>
                <w:sz w:val="32"/>
                <w:szCs w:val="40"/>
                <w:lang w:eastAsia="zh-CN"/>
              </w:rPr>
            </w:pPr>
            <w:r>
              <w:rPr>
                <w:rFonts w:hint="eastAsia" w:ascii="仿宋" w:hAnsi="仿宋" w:eastAsia="仿宋" w:cs="仿宋"/>
                <w:sz w:val="24"/>
                <w:szCs w:val="32"/>
              </w:rPr>
              <w:t xml:space="preserve"> -</w:t>
            </w:r>
            <w:r>
              <w:rPr>
                <w:rFonts w:hint="eastAsia" w:ascii="仿宋" w:hAnsi="仿宋" w:eastAsia="仿宋" w:cs="仿宋"/>
                <w:sz w:val="24"/>
                <w:szCs w:val="32"/>
                <w:lang w:val="en-US" w:eastAsia="zh-CN"/>
              </w:rPr>
              <w:t>2</w:t>
            </w:r>
          </w:p>
        </w:tc>
        <w:tc>
          <w:tcPr>
            <w:tcW w:w="794" w:type="dxa"/>
            <w:noWrap w:val="0"/>
            <w:vAlign w:val="center"/>
          </w:tcPr>
          <w:p w14:paraId="1579D052">
            <w:pPr>
              <w:jc w:val="center"/>
              <w:rPr>
                <w:rFonts w:hint="eastAsia" w:ascii="仿宋" w:hAnsi="仿宋" w:eastAsia="仿宋" w:cs="仿宋"/>
                <w:sz w:val="32"/>
                <w:szCs w:val="40"/>
              </w:rPr>
            </w:pPr>
          </w:p>
        </w:tc>
      </w:tr>
      <w:tr w14:paraId="13D5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83" w:type="dxa"/>
            <w:noWrap w:val="0"/>
            <w:vAlign w:val="center"/>
          </w:tcPr>
          <w:p w14:paraId="0BF42453">
            <w:pPr>
              <w:jc w:val="center"/>
              <w:rPr>
                <w:rFonts w:hint="eastAsia" w:ascii="仿宋" w:hAnsi="仿宋" w:eastAsia="仿宋" w:cs="仿宋"/>
                <w:sz w:val="24"/>
                <w:szCs w:val="32"/>
              </w:rPr>
            </w:pPr>
            <w:r>
              <w:rPr>
                <w:rFonts w:hint="eastAsia" w:ascii="仿宋" w:hAnsi="仿宋" w:eastAsia="仿宋" w:cs="仿宋"/>
                <w:sz w:val="24"/>
                <w:szCs w:val="32"/>
              </w:rPr>
              <w:t>4</w:t>
            </w:r>
          </w:p>
        </w:tc>
        <w:tc>
          <w:tcPr>
            <w:tcW w:w="1710" w:type="dxa"/>
            <w:noWrap w:val="0"/>
            <w:vAlign w:val="center"/>
          </w:tcPr>
          <w:p w14:paraId="35BEF81C">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回收要求</w:t>
            </w:r>
          </w:p>
        </w:tc>
        <w:tc>
          <w:tcPr>
            <w:tcW w:w="2416" w:type="dxa"/>
            <w:noWrap w:val="0"/>
            <w:vAlign w:val="top"/>
          </w:tcPr>
          <w:p w14:paraId="0B6809E5">
            <w:pPr>
              <w:rPr>
                <w:rFonts w:hint="default" w:ascii="仿宋" w:hAnsi="仿宋" w:eastAsia="仿宋" w:cs="仿宋"/>
                <w:sz w:val="24"/>
                <w:lang w:val="en-US" w:eastAsia="zh-CN"/>
              </w:rPr>
            </w:pPr>
            <w:r>
              <w:rPr>
                <w:rFonts w:hint="eastAsia" w:ascii="仿宋" w:hAnsi="仿宋" w:eastAsia="仿宋" w:cs="仿宋"/>
                <w:sz w:val="24"/>
                <w:lang w:val="en-US" w:eastAsia="zh-CN"/>
              </w:rPr>
              <w:t>回收期间，严禁遗漏，保证院区整洁</w:t>
            </w:r>
          </w:p>
        </w:tc>
        <w:tc>
          <w:tcPr>
            <w:tcW w:w="2032" w:type="dxa"/>
            <w:noWrap w:val="0"/>
            <w:vAlign w:val="top"/>
          </w:tcPr>
          <w:p w14:paraId="0F9153C8">
            <w:pPr>
              <w:rPr>
                <w:rFonts w:hint="eastAsia" w:ascii="仿宋" w:hAnsi="仿宋" w:eastAsia="仿宋" w:cs="仿宋"/>
                <w:sz w:val="24"/>
              </w:rPr>
            </w:pPr>
            <w:r>
              <w:rPr>
                <w:rFonts w:hint="eastAsia" w:ascii="仿宋" w:hAnsi="仿宋" w:eastAsia="仿宋" w:cs="仿宋"/>
                <w:sz w:val="24"/>
              </w:rPr>
              <w:t>每发现一次不合格扣除200元</w:t>
            </w:r>
          </w:p>
        </w:tc>
        <w:tc>
          <w:tcPr>
            <w:tcW w:w="784" w:type="dxa"/>
            <w:noWrap w:val="0"/>
            <w:vAlign w:val="center"/>
          </w:tcPr>
          <w:p w14:paraId="1D8BD21E">
            <w:pPr>
              <w:jc w:val="center"/>
              <w:rPr>
                <w:rFonts w:hint="eastAsia" w:ascii="仿宋" w:hAnsi="仿宋" w:eastAsia="仿宋" w:cs="仿宋"/>
                <w:sz w:val="24"/>
              </w:rPr>
            </w:pPr>
            <w:r>
              <w:rPr>
                <w:rFonts w:hint="eastAsia" w:ascii="仿宋" w:hAnsi="仿宋" w:eastAsia="仿宋" w:cs="仿宋"/>
                <w:sz w:val="24"/>
              </w:rPr>
              <w:t xml:space="preserve"> -2</w:t>
            </w:r>
          </w:p>
        </w:tc>
        <w:tc>
          <w:tcPr>
            <w:tcW w:w="794" w:type="dxa"/>
            <w:noWrap w:val="0"/>
            <w:vAlign w:val="top"/>
          </w:tcPr>
          <w:p w14:paraId="7B7DE751">
            <w:pPr>
              <w:rPr>
                <w:rFonts w:hint="eastAsia" w:ascii="仿宋" w:hAnsi="仿宋" w:eastAsia="仿宋" w:cs="仿宋"/>
                <w:sz w:val="24"/>
              </w:rPr>
            </w:pPr>
          </w:p>
        </w:tc>
      </w:tr>
      <w:tr w14:paraId="5205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19" w:type="dxa"/>
            <w:gridSpan w:val="6"/>
            <w:noWrap w:val="0"/>
            <w:vAlign w:val="center"/>
          </w:tcPr>
          <w:p w14:paraId="29AA4660">
            <w:pPr>
              <w:rPr>
                <w:rFonts w:hint="default" w:ascii="仿宋" w:hAnsi="仿宋" w:eastAsia="仿宋" w:cs="仿宋"/>
                <w:sz w:val="24"/>
                <w:lang w:val="en-US" w:eastAsia="zh-CN"/>
              </w:rPr>
            </w:pPr>
            <w:r>
              <w:rPr>
                <w:rFonts w:hint="eastAsia" w:ascii="仿宋" w:hAnsi="仿宋" w:eastAsia="仿宋" w:cs="仿宋"/>
                <w:sz w:val="24"/>
                <w:lang w:val="en-US" w:eastAsia="zh-CN"/>
              </w:rPr>
              <w:t>考核期限：   年  月至   年  月</w:t>
            </w:r>
          </w:p>
        </w:tc>
      </w:tr>
    </w:tbl>
    <w:p w14:paraId="6D5AC4DB">
      <w:pPr>
        <w:pStyle w:val="2"/>
        <w:numPr>
          <w:ilvl w:val="0"/>
          <w:numId w:val="0"/>
        </w:numPr>
        <w:ind w:leftChars="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MDBmZTUwM2JlMjM3MTBiZDNlOTM2ZGRjNjgzNjIifQ=="/>
  </w:docVars>
  <w:rsids>
    <w:rsidRoot w:val="75205D55"/>
    <w:rsid w:val="0D8F741C"/>
    <w:rsid w:val="128F311B"/>
    <w:rsid w:val="12BF6719"/>
    <w:rsid w:val="21F27E60"/>
    <w:rsid w:val="27E623BF"/>
    <w:rsid w:val="3A502027"/>
    <w:rsid w:val="3C9531C2"/>
    <w:rsid w:val="3CC573D2"/>
    <w:rsid w:val="46970FB2"/>
    <w:rsid w:val="4A5727F3"/>
    <w:rsid w:val="4D322828"/>
    <w:rsid w:val="4F356DDA"/>
    <w:rsid w:val="5220522D"/>
    <w:rsid w:val="586953E8"/>
    <w:rsid w:val="65377DE2"/>
    <w:rsid w:val="68C63F07"/>
    <w:rsid w:val="6A9A3B0E"/>
    <w:rsid w:val="714A7D68"/>
    <w:rsid w:val="74696B6F"/>
    <w:rsid w:val="75205D55"/>
    <w:rsid w:val="7691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1646</Words>
  <Characters>1724</Characters>
  <Lines>0</Lines>
  <Paragraphs>0</Paragraphs>
  <TotalTime>53</TotalTime>
  <ScaleCrop>false</ScaleCrop>
  <LinksUpToDate>false</LinksUpToDate>
  <CharactersWithSpaces>3129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2019-08-09T02:05:00Z</dcterms:created>
  <dc:creator>qzuser</dc:creator>
  <cp:lastModifiedBy>陈皎</cp:lastModifiedBy>
  <cp:lastPrinted>2021-08-31T01:00:00Z</cp:lastPrinted>
  <dcterms:modified xsi:type="dcterms:W3CDTF">2025-06-24T00:42:16Z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795206BFF52445A9B0AC0F7767D9E26F_13</vt:lpwstr>
  </property>
  <property fmtid="{D5CDD505-2E9C-101B-9397-08002B2CF9AE}" pid="4" name="KSOTemplateDocerSaveRecord">
    <vt:lpwstr>eyJoZGlkIjoiODU4ZWQ0NTMwNDJhZjMyNzIzMzU0MjQxMWZjNzRmNmIiLCJ1c2VySWQiOiI2NTk4OTM3NDQifQ==</vt:lpwstr>
  </property>
</Properties>
</file>